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006F" w14:textId="77777777" w:rsidR="00E81706" w:rsidRDefault="00E81706" w:rsidP="00E81706">
      <w:pPr>
        <w:pStyle w:val="wordsection1"/>
        <w:spacing w:before="0" w:beforeAutospacing="0" w:after="0" w:afterAutospacing="0"/>
        <w:rPr>
          <w:rFonts w:ascii="Arial" w:hAnsi="Arial" w:cs="Arial"/>
          <w:color w:val="000000"/>
          <w:sz w:val="24"/>
          <w:szCs w:val="24"/>
        </w:rPr>
      </w:pPr>
    </w:p>
    <w:p w14:paraId="41DA66F5" w14:textId="77777777" w:rsidR="00E81706" w:rsidRDefault="00E81706" w:rsidP="00E81706">
      <w:pPr>
        <w:pStyle w:val="wordsection1"/>
        <w:spacing w:before="0" w:beforeAutospacing="0" w:after="0" w:afterAutospacing="0"/>
        <w:jc w:val="center"/>
        <w:rPr>
          <w:rFonts w:ascii="Arial" w:hAnsi="Arial" w:cs="Arial"/>
          <w:color w:val="0070C0"/>
          <w:sz w:val="24"/>
          <w:szCs w:val="24"/>
          <w:u w:val="single"/>
        </w:rPr>
      </w:pPr>
      <w:r>
        <w:rPr>
          <w:rFonts w:ascii="Arial" w:hAnsi="Arial" w:cs="Arial"/>
          <w:b/>
          <w:bCs/>
          <w:color w:val="0070C0"/>
          <w:sz w:val="24"/>
          <w:szCs w:val="24"/>
          <w:u w:val="single"/>
        </w:rPr>
        <w:t>09.01.23 - Clinical Workstream updates</w:t>
      </w:r>
    </w:p>
    <w:p w14:paraId="72ACAD87" w14:textId="77777777" w:rsidR="00E81706" w:rsidRDefault="00E81706" w:rsidP="00E81706">
      <w:pPr>
        <w:pStyle w:val="xmsonormal"/>
        <w:rPr>
          <w:rFonts w:ascii="Arial" w:hAnsi="Arial" w:cs="Arial"/>
          <w:b/>
          <w:bCs/>
          <w:sz w:val="24"/>
          <w:szCs w:val="24"/>
          <w:u w:val="single"/>
        </w:rPr>
      </w:pPr>
      <w:r>
        <w:rPr>
          <w:rFonts w:ascii="Arial" w:hAnsi="Arial" w:cs="Arial"/>
          <w:b/>
          <w:bCs/>
          <w:sz w:val="24"/>
          <w:szCs w:val="24"/>
          <w:u w:val="single"/>
        </w:rPr>
        <w:t>Contents</w:t>
      </w:r>
    </w:p>
    <w:p w14:paraId="6589FCCA" w14:textId="77777777" w:rsidR="00E81706" w:rsidRDefault="00E81706" w:rsidP="00E81706">
      <w:pPr>
        <w:pStyle w:val="wordsection1"/>
        <w:numPr>
          <w:ilvl w:val="0"/>
          <w:numId w:val="1"/>
        </w:numPr>
        <w:spacing w:before="0" w:beforeAutospacing="0"/>
        <w:contextualSpacing/>
        <w:rPr>
          <w:rFonts w:ascii="Arial" w:eastAsia="Times New Roman" w:hAnsi="Arial" w:cs="Arial"/>
          <w:b/>
          <w:bCs/>
          <w:color w:val="005EB8"/>
          <w:sz w:val="24"/>
          <w:szCs w:val="24"/>
        </w:rPr>
      </w:pPr>
      <w:r>
        <w:rPr>
          <w:rFonts w:ascii="Arial" w:eastAsia="Times New Roman" w:hAnsi="Arial" w:cs="Arial"/>
          <w:b/>
          <w:bCs/>
          <w:color w:val="005EB8"/>
          <w:sz w:val="24"/>
          <w:szCs w:val="24"/>
        </w:rPr>
        <w:t xml:space="preserve">Revised PGD and national protocol for Comirnaty 10 Concentrate </w:t>
      </w:r>
    </w:p>
    <w:p w14:paraId="79B3CF2F" w14:textId="77777777" w:rsidR="00E81706" w:rsidRDefault="00E81706" w:rsidP="00E81706">
      <w:pPr>
        <w:pStyle w:val="wordsection1"/>
        <w:numPr>
          <w:ilvl w:val="0"/>
          <w:numId w:val="1"/>
        </w:numPr>
        <w:rPr>
          <w:rFonts w:ascii="Arial" w:eastAsia="Times New Roman" w:hAnsi="Arial" w:cs="Arial"/>
          <w:b/>
          <w:bCs/>
          <w:color w:val="005EB8"/>
          <w:sz w:val="24"/>
          <w:szCs w:val="24"/>
        </w:rPr>
      </w:pPr>
      <w:r>
        <w:rPr>
          <w:rFonts w:ascii="Arial" w:eastAsia="Times New Roman" w:hAnsi="Arial" w:cs="Arial"/>
          <w:b/>
          <w:bCs/>
          <w:color w:val="005EB8"/>
          <w:sz w:val="24"/>
          <w:szCs w:val="24"/>
        </w:rPr>
        <w:t xml:space="preserve">Vaccinating for impact: Vaccinating at risk </w:t>
      </w:r>
    </w:p>
    <w:p w14:paraId="02203D4E" w14:textId="77777777" w:rsidR="00E81706" w:rsidRDefault="00E81706" w:rsidP="00E81706">
      <w:pPr>
        <w:pStyle w:val="wordsection1"/>
        <w:numPr>
          <w:ilvl w:val="0"/>
          <w:numId w:val="1"/>
        </w:numPr>
        <w:rPr>
          <w:rFonts w:ascii="Arial" w:eastAsia="Times New Roman" w:hAnsi="Arial" w:cs="Arial"/>
          <w:b/>
          <w:bCs/>
          <w:color w:val="005EB8"/>
          <w:sz w:val="24"/>
          <w:szCs w:val="24"/>
        </w:rPr>
      </w:pPr>
      <w:r>
        <w:rPr>
          <w:rFonts w:ascii="Arial" w:eastAsia="Times New Roman" w:hAnsi="Arial" w:cs="Arial"/>
          <w:b/>
          <w:bCs/>
          <w:color w:val="005EB8"/>
          <w:sz w:val="24"/>
          <w:szCs w:val="24"/>
        </w:rPr>
        <w:t>Autumn/winter booster for individuals with an incomplete vaccination history</w:t>
      </w:r>
    </w:p>
    <w:p w14:paraId="29DC9D4C" w14:textId="77777777" w:rsidR="00E81706" w:rsidRDefault="00E81706" w:rsidP="00E81706">
      <w:pPr>
        <w:pStyle w:val="wordsection1"/>
        <w:numPr>
          <w:ilvl w:val="0"/>
          <w:numId w:val="1"/>
        </w:numPr>
        <w:rPr>
          <w:rFonts w:ascii="Arial" w:eastAsia="Times New Roman" w:hAnsi="Arial" w:cs="Arial"/>
          <w:b/>
          <w:bCs/>
          <w:color w:val="005EB8"/>
          <w:sz w:val="24"/>
          <w:szCs w:val="24"/>
        </w:rPr>
      </w:pPr>
      <w:r>
        <w:rPr>
          <w:rFonts w:ascii="Arial" w:eastAsia="Times New Roman" w:hAnsi="Arial" w:cs="Arial"/>
          <w:b/>
          <w:bCs/>
          <w:color w:val="005EB8"/>
          <w:sz w:val="24"/>
          <w:szCs w:val="24"/>
        </w:rPr>
        <w:t>Clinical Safety Dashboard – Call for your views</w:t>
      </w:r>
    </w:p>
    <w:p w14:paraId="0F8B3CCA" w14:textId="77777777" w:rsidR="00E81706" w:rsidRDefault="00E81706" w:rsidP="00E81706">
      <w:pPr>
        <w:pStyle w:val="wordsection1"/>
        <w:numPr>
          <w:ilvl w:val="0"/>
          <w:numId w:val="1"/>
        </w:numPr>
        <w:rPr>
          <w:rFonts w:ascii="Arial" w:eastAsia="Times New Roman" w:hAnsi="Arial" w:cs="Arial"/>
          <w:b/>
          <w:bCs/>
          <w:color w:val="005EB8"/>
          <w:sz w:val="24"/>
          <w:szCs w:val="24"/>
        </w:rPr>
      </w:pPr>
      <w:r>
        <w:rPr>
          <w:rFonts w:ascii="Arial" w:eastAsia="Times New Roman" w:hAnsi="Arial" w:cs="Arial"/>
          <w:b/>
          <w:bCs/>
          <w:color w:val="005EB8"/>
          <w:sz w:val="24"/>
          <w:szCs w:val="24"/>
        </w:rPr>
        <w:t>Clinical Safety Dashboard - Update</w:t>
      </w:r>
    </w:p>
    <w:p w14:paraId="6BA7C322" w14:textId="77777777" w:rsidR="00E81706" w:rsidRDefault="00E81706" w:rsidP="00E81706">
      <w:pPr>
        <w:pStyle w:val="wordsection1"/>
        <w:numPr>
          <w:ilvl w:val="0"/>
          <w:numId w:val="1"/>
        </w:numPr>
        <w:rPr>
          <w:rFonts w:ascii="Arial" w:eastAsia="Times New Roman" w:hAnsi="Arial" w:cs="Arial"/>
          <w:b/>
          <w:bCs/>
          <w:color w:val="005EB8"/>
          <w:sz w:val="24"/>
          <w:szCs w:val="24"/>
        </w:rPr>
      </w:pPr>
      <w:proofErr w:type="spellStart"/>
      <w:r>
        <w:rPr>
          <w:rFonts w:ascii="Arial" w:eastAsia="Times New Roman" w:hAnsi="Arial" w:cs="Arial"/>
          <w:b/>
          <w:bCs/>
          <w:color w:val="005EB8"/>
          <w:sz w:val="24"/>
          <w:szCs w:val="24"/>
        </w:rPr>
        <w:t>Nuvaxovid</w:t>
      </w:r>
      <w:proofErr w:type="spellEnd"/>
      <w:r>
        <w:rPr>
          <w:rFonts w:ascii="Arial" w:eastAsia="Times New Roman" w:hAnsi="Arial" w:cs="Arial"/>
          <w:b/>
          <w:bCs/>
          <w:color w:val="005EB8"/>
          <w:sz w:val="24"/>
          <w:szCs w:val="24"/>
        </w:rPr>
        <w:t xml:space="preserve"> survey results </w:t>
      </w:r>
    </w:p>
    <w:p w14:paraId="1DF5E092" w14:textId="77777777" w:rsidR="00E81706" w:rsidRDefault="00E81706" w:rsidP="00E81706">
      <w:pPr>
        <w:pStyle w:val="wordsection1"/>
        <w:numPr>
          <w:ilvl w:val="0"/>
          <w:numId w:val="1"/>
        </w:numPr>
        <w:rPr>
          <w:rFonts w:ascii="Arial" w:eastAsia="Times New Roman" w:hAnsi="Arial" w:cs="Arial"/>
          <w:b/>
          <w:bCs/>
          <w:color w:val="005EB8"/>
          <w:sz w:val="24"/>
          <w:szCs w:val="24"/>
        </w:rPr>
      </w:pPr>
      <w:r>
        <w:rPr>
          <w:rFonts w:ascii="Arial" w:eastAsia="Times New Roman" w:hAnsi="Arial" w:cs="Arial"/>
          <w:b/>
          <w:bCs/>
          <w:color w:val="005EB8"/>
          <w:sz w:val="24"/>
          <w:szCs w:val="24"/>
        </w:rPr>
        <w:t>Care homes guidance – IPC update</w:t>
      </w:r>
    </w:p>
    <w:p w14:paraId="7CB50632" w14:textId="77777777" w:rsidR="00E81706" w:rsidRDefault="00E81706" w:rsidP="00E81706">
      <w:pPr>
        <w:pStyle w:val="wordsection1"/>
        <w:numPr>
          <w:ilvl w:val="0"/>
          <w:numId w:val="1"/>
        </w:numPr>
        <w:rPr>
          <w:rFonts w:ascii="Arial" w:eastAsia="Times New Roman" w:hAnsi="Arial" w:cs="Arial"/>
          <w:b/>
          <w:bCs/>
          <w:color w:val="005EB8"/>
          <w:sz w:val="24"/>
          <w:szCs w:val="24"/>
        </w:rPr>
      </w:pPr>
      <w:r>
        <w:rPr>
          <w:rFonts w:ascii="Arial" w:eastAsia="Times New Roman" w:hAnsi="Arial" w:cs="Arial"/>
          <w:b/>
          <w:bCs/>
          <w:color w:val="005EB8"/>
          <w:sz w:val="24"/>
          <w:szCs w:val="24"/>
        </w:rPr>
        <w:t>Case studies</w:t>
      </w:r>
    </w:p>
    <w:p w14:paraId="47BB9F1B" w14:textId="77777777" w:rsidR="00E81706" w:rsidRDefault="00E81706" w:rsidP="00E81706">
      <w:pPr>
        <w:pStyle w:val="wordsection1"/>
        <w:spacing w:before="0" w:beforeAutospacing="0" w:after="0" w:afterAutospacing="0"/>
        <w:ind w:left="720"/>
        <w:rPr>
          <w:rFonts w:ascii="Arial" w:hAnsi="Arial" w:cs="Arial"/>
          <w:b/>
          <w:bCs/>
          <w:sz w:val="24"/>
          <w:szCs w:val="24"/>
        </w:rPr>
      </w:pPr>
    </w:p>
    <w:p w14:paraId="03D39ADD" w14:textId="77777777" w:rsidR="00E81706" w:rsidRDefault="00E81706" w:rsidP="00E81706">
      <w:pPr>
        <w:pStyle w:val="wordsection1"/>
        <w:numPr>
          <w:ilvl w:val="0"/>
          <w:numId w:val="2"/>
        </w:numPr>
        <w:spacing w:before="0" w:beforeAutospacing="0" w:after="0" w:afterAutospacing="0"/>
        <w:contextualSpacing/>
        <w:rPr>
          <w:rFonts w:ascii="Arial" w:hAnsi="Arial" w:cs="Arial"/>
          <w:b/>
          <w:bCs/>
          <w:color w:val="005EB8"/>
          <w:sz w:val="24"/>
          <w:szCs w:val="24"/>
        </w:rPr>
      </w:pPr>
      <w:r>
        <w:rPr>
          <w:rFonts w:ascii="Arial" w:hAnsi="Arial" w:cs="Arial"/>
          <w:b/>
          <w:bCs/>
          <w:color w:val="005EB8"/>
          <w:sz w:val="24"/>
          <w:szCs w:val="24"/>
        </w:rPr>
        <w:t xml:space="preserve">Revised PGD and </w:t>
      </w:r>
      <w:r>
        <w:rPr>
          <w:rFonts w:ascii="Arial" w:hAnsi="Arial" w:cs="Arial"/>
          <w:b/>
          <w:bCs/>
          <w:color w:val="4472C4"/>
          <w:sz w:val="24"/>
          <w:szCs w:val="24"/>
        </w:rPr>
        <w:t xml:space="preserve">National </w:t>
      </w:r>
      <w:r>
        <w:rPr>
          <w:rFonts w:ascii="Arial" w:hAnsi="Arial" w:cs="Arial"/>
          <w:b/>
          <w:bCs/>
          <w:color w:val="005EB8"/>
          <w:sz w:val="24"/>
          <w:szCs w:val="24"/>
        </w:rPr>
        <w:t xml:space="preserve">protocol for Comirnaty 10 Concentrate </w:t>
      </w:r>
    </w:p>
    <w:p w14:paraId="67E8D1C5" w14:textId="77777777" w:rsidR="00E81706" w:rsidRDefault="00E81706" w:rsidP="00E81706">
      <w:pPr>
        <w:pStyle w:val="wordsection1"/>
        <w:spacing w:before="0" w:beforeAutospacing="0" w:after="0" w:afterAutospacing="0"/>
        <w:ind w:left="1004"/>
        <w:contextualSpacing/>
        <w:rPr>
          <w:rFonts w:ascii="Arial" w:hAnsi="Arial" w:cs="Arial"/>
          <w:b/>
          <w:bCs/>
          <w:color w:val="005EB8"/>
          <w:sz w:val="24"/>
          <w:szCs w:val="24"/>
        </w:rPr>
      </w:pPr>
    </w:p>
    <w:p w14:paraId="69C46953" w14:textId="77777777" w:rsidR="00E81706" w:rsidRDefault="00E81706" w:rsidP="00E81706">
      <w:pPr>
        <w:pStyle w:val="wordsection1"/>
        <w:shd w:val="clear" w:color="auto" w:fill="FFFFFF"/>
        <w:ind w:left="284"/>
        <w:contextualSpacing/>
        <w:rPr>
          <w:rStyle w:val="contentpasted0"/>
          <w:shd w:val="clear" w:color="auto" w:fill="FFFFFF"/>
          <w:lang w:val="en-US"/>
        </w:rPr>
      </w:pPr>
      <w:r>
        <w:rPr>
          <w:rStyle w:val="contentpasted0"/>
          <w:rFonts w:ascii="Arial" w:hAnsi="Arial" w:cs="Arial"/>
          <w:color w:val="000000"/>
          <w:sz w:val="24"/>
          <w:szCs w:val="24"/>
          <w:shd w:val="clear" w:color="auto" w:fill="FFFFFF"/>
        </w:rPr>
        <w:t>Revised </w:t>
      </w:r>
      <w:hyperlink r:id="rId5" w:tgtFrame="_blank" w:tooltip="https://www.england.nhs.uk/coronavirus/publication/patient-group-direction-for-comirnaty-10micrograms-dose-concentrate-for-children-5-11-years/" w:history="1">
        <w:r>
          <w:rPr>
            <w:rStyle w:val="Hyperlink"/>
            <w:rFonts w:ascii="Arial" w:hAnsi="Arial" w:cs="Arial"/>
            <w:sz w:val="24"/>
            <w:szCs w:val="24"/>
            <w:shd w:val="clear" w:color="auto" w:fill="FFFFFF"/>
          </w:rPr>
          <w:t>Patient Group Direction</w:t>
        </w:r>
      </w:hyperlink>
      <w:r>
        <w:rPr>
          <w:rStyle w:val="contentpasted0"/>
          <w:rFonts w:ascii="Arial" w:hAnsi="Arial" w:cs="Arial"/>
          <w:color w:val="000000"/>
          <w:sz w:val="24"/>
          <w:szCs w:val="24"/>
          <w:shd w:val="clear" w:color="auto" w:fill="FFFFFF"/>
        </w:rPr>
        <w:t> (</w:t>
      </w:r>
      <w:r>
        <w:rPr>
          <w:rStyle w:val="markjyh503u34"/>
          <w:rFonts w:ascii="Arial" w:hAnsi="Arial" w:cs="Arial"/>
          <w:color w:val="000000"/>
          <w:sz w:val="24"/>
          <w:szCs w:val="24"/>
          <w:shd w:val="clear" w:color="auto" w:fill="FFFFFF"/>
        </w:rPr>
        <w:t>PGD</w:t>
      </w:r>
      <w:r>
        <w:rPr>
          <w:rStyle w:val="contentpasted0"/>
          <w:rFonts w:ascii="Arial" w:hAnsi="Arial" w:cs="Arial"/>
          <w:color w:val="000000"/>
          <w:sz w:val="24"/>
          <w:szCs w:val="24"/>
          <w:shd w:val="clear" w:color="auto" w:fill="FFFFFF"/>
        </w:rPr>
        <w:t>) and </w:t>
      </w:r>
      <w:hyperlink r:id="rId6" w:tgtFrame="_blank" w:tooltip="https://www.gov.uk/government/publications/national-protocol-for-comirnaty-10-microgramdose-covid-19-mrna-vaccine" w:history="1">
        <w:r>
          <w:rPr>
            <w:rStyle w:val="Hyperlink"/>
            <w:rFonts w:ascii="Arial" w:hAnsi="Arial" w:cs="Arial"/>
            <w:sz w:val="24"/>
            <w:szCs w:val="24"/>
            <w:shd w:val="clear" w:color="auto" w:fill="FFFFFF"/>
          </w:rPr>
          <w:t>National Protocol</w:t>
        </w:r>
      </w:hyperlink>
      <w:r>
        <w:rPr>
          <w:rStyle w:val="contentpasted0"/>
          <w:rFonts w:ascii="Arial" w:hAnsi="Arial" w:cs="Arial"/>
          <w:color w:val="000000"/>
          <w:sz w:val="24"/>
          <w:szCs w:val="24"/>
          <w:shd w:val="clear" w:color="auto" w:fill="FFFFFF"/>
        </w:rPr>
        <w:t> for Comirnaty 10 Concentrate have been published. Vaccinating teams should read the new versions, familiarise themselves with the amendments [which are detailed in the ‘change history section], complete the authorisation process, and adopt for their use. The main revisions relate to the vaccine now being licensed for booster doses for children aged 5 -11 years old (previously off-label) and a clarification regarding the vaccine type for 12 year olds in Year 7 requiring a booster dose.   </w:t>
      </w:r>
    </w:p>
    <w:p w14:paraId="2F099189" w14:textId="77777777" w:rsidR="00E81706" w:rsidRDefault="00E81706" w:rsidP="00E81706">
      <w:pPr>
        <w:pStyle w:val="wordsection1"/>
        <w:shd w:val="clear" w:color="auto" w:fill="FFFFFF"/>
        <w:spacing w:before="0" w:beforeAutospacing="0" w:after="0" w:afterAutospacing="0"/>
        <w:ind w:left="284"/>
        <w:contextualSpacing/>
        <w:rPr>
          <w:color w:val="242424"/>
        </w:rPr>
      </w:pPr>
    </w:p>
    <w:p w14:paraId="1D20FC54" w14:textId="77777777" w:rsidR="00E81706" w:rsidRDefault="00E81706" w:rsidP="00E81706">
      <w:pPr>
        <w:pStyle w:val="wordsection1"/>
        <w:numPr>
          <w:ilvl w:val="0"/>
          <w:numId w:val="2"/>
        </w:numPr>
        <w:spacing w:before="0" w:beforeAutospacing="0" w:after="0" w:afterAutospacing="0"/>
        <w:contextualSpacing/>
        <w:rPr>
          <w:rFonts w:ascii="Arial" w:hAnsi="Arial" w:cs="Arial"/>
          <w:b/>
          <w:bCs/>
          <w:color w:val="005EB8"/>
          <w:sz w:val="24"/>
          <w:szCs w:val="24"/>
        </w:rPr>
      </w:pPr>
      <w:r>
        <w:rPr>
          <w:rFonts w:ascii="Arial" w:hAnsi="Arial" w:cs="Arial"/>
          <w:b/>
          <w:bCs/>
          <w:color w:val="005EB8"/>
          <w:sz w:val="24"/>
          <w:szCs w:val="24"/>
        </w:rPr>
        <w:t xml:space="preserve">Vaccinating for impact: vaccinating those at risk </w:t>
      </w:r>
    </w:p>
    <w:p w14:paraId="157CE7E7" w14:textId="77777777" w:rsidR="00E81706" w:rsidRDefault="00E81706" w:rsidP="00E81706">
      <w:pPr>
        <w:pStyle w:val="wordsection1"/>
        <w:spacing w:before="0" w:beforeAutospacing="0" w:after="0" w:afterAutospacing="0"/>
        <w:ind w:left="1004"/>
        <w:contextualSpacing/>
        <w:rPr>
          <w:rFonts w:ascii="Arial" w:hAnsi="Arial" w:cs="Arial"/>
          <w:b/>
          <w:bCs/>
          <w:color w:val="005EB8"/>
          <w:sz w:val="24"/>
          <w:szCs w:val="24"/>
        </w:rPr>
      </w:pPr>
    </w:p>
    <w:p w14:paraId="73D94409" w14:textId="77777777" w:rsidR="00E81706" w:rsidRDefault="00E81706" w:rsidP="00E81706">
      <w:pPr>
        <w:pStyle w:val="wordsection1"/>
        <w:spacing w:before="0" w:beforeAutospacing="0" w:after="0" w:afterAutospacing="0"/>
        <w:ind w:left="349"/>
        <w:rPr>
          <w:rFonts w:ascii="Arial" w:hAnsi="Arial" w:cs="Arial"/>
          <w:sz w:val="24"/>
          <w:szCs w:val="24"/>
        </w:rPr>
      </w:pPr>
      <w:r>
        <w:rPr>
          <w:rFonts w:ascii="Arial" w:hAnsi="Arial" w:cs="Arial"/>
          <w:sz w:val="24"/>
          <w:szCs w:val="24"/>
        </w:rPr>
        <w:t xml:space="preserve">The number of vaccination events being delivered is currently low, however there remain individuals at risk who we would wish to receive their vaccine.  For those vaccines not in frequent use (for example Comirnaty 10, </w:t>
      </w:r>
      <w:proofErr w:type="spellStart"/>
      <w:r>
        <w:rPr>
          <w:rFonts w:ascii="Arial" w:hAnsi="Arial" w:cs="Arial"/>
          <w:sz w:val="24"/>
          <w:szCs w:val="24"/>
        </w:rPr>
        <w:t>Nuvaxovid</w:t>
      </w:r>
      <w:proofErr w:type="spellEnd"/>
      <w:r>
        <w:rPr>
          <w:rFonts w:ascii="Arial" w:hAnsi="Arial" w:cs="Arial"/>
          <w:sz w:val="24"/>
          <w:szCs w:val="24"/>
        </w:rPr>
        <w:t xml:space="preserve">) this might involve using just a small part of a multi-dose vial.  </w:t>
      </w:r>
    </w:p>
    <w:p w14:paraId="7113F32B" w14:textId="77777777" w:rsidR="00E81706" w:rsidRDefault="00E81706" w:rsidP="00E81706">
      <w:pPr>
        <w:pStyle w:val="wordsection1"/>
        <w:spacing w:before="0" w:beforeAutospacing="0" w:after="0" w:afterAutospacing="0"/>
        <w:ind w:left="349"/>
        <w:rPr>
          <w:rFonts w:ascii="Arial" w:hAnsi="Arial" w:cs="Arial"/>
          <w:sz w:val="24"/>
          <w:szCs w:val="24"/>
        </w:rPr>
      </w:pPr>
      <w:r>
        <w:rPr>
          <w:rFonts w:ascii="Arial" w:hAnsi="Arial" w:cs="Arial"/>
          <w:sz w:val="24"/>
          <w:szCs w:val="24"/>
        </w:rPr>
        <w:t>While vaccine stock levels are high, we encourage vaccination at the point of presentation rather than combining individuals into vial-size clinic appointments and accept that reported waste may be higher than previously noted.</w:t>
      </w:r>
    </w:p>
    <w:p w14:paraId="2564BA06" w14:textId="77777777" w:rsidR="00E81706" w:rsidRDefault="00E81706" w:rsidP="00E81706">
      <w:pPr>
        <w:pStyle w:val="wordsection1"/>
        <w:shd w:val="clear" w:color="auto" w:fill="FFFFFF"/>
        <w:spacing w:before="0" w:beforeAutospacing="0" w:after="0" w:afterAutospacing="0"/>
        <w:contextualSpacing/>
        <w:rPr>
          <w:rFonts w:ascii="Arial" w:hAnsi="Arial" w:cs="Arial"/>
          <w:color w:val="242424"/>
          <w:sz w:val="24"/>
          <w:szCs w:val="24"/>
          <w:shd w:val="clear" w:color="auto" w:fill="FFFFFF"/>
        </w:rPr>
      </w:pPr>
    </w:p>
    <w:p w14:paraId="24414655" w14:textId="77777777" w:rsidR="00E81706" w:rsidRDefault="00E81706" w:rsidP="00E81706">
      <w:pPr>
        <w:pStyle w:val="wordsection1"/>
        <w:numPr>
          <w:ilvl w:val="0"/>
          <w:numId w:val="2"/>
        </w:numPr>
        <w:spacing w:before="0" w:beforeAutospacing="0" w:after="0" w:afterAutospacing="0"/>
        <w:contextualSpacing/>
        <w:rPr>
          <w:rFonts w:ascii="Arial" w:hAnsi="Arial" w:cs="Arial"/>
          <w:b/>
          <w:bCs/>
          <w:color w:val="005EB8"/>
          <w:sz w:val="24"/>
          <w:szCs w:val="24"/>
        </w:rPr>
      </w:pPr>
      <w:bookmarkStart w:id="0" w:name="_Hlk123638287"/>
      <w:r>
        <w:rPr>
          <w:rFonts w:ascii="Arial" w:hAnsi="Arial" w:cs="Arial"/>
          <w:b/>
          <w:bCs/>
          <w:color w:val="005EB8"/>
          <w:sz w:val="24"/>
          <w:szCs w:val="24"/>
        </w:rPr>
        <w:t>Autumn/winter booster for individuals with an incomplete vaccination history</w:t>
      </w:r>
      <w:bookmarkEnd w:id="0"/>
    </w:p>
    <w:p w14:paraId="7733EFA9" w14:textId="77777777" w:rsidR="00E81706" w:rsidRDefault="00E81706" w:rsidP="00E81706">
      <w:pPr>
        <w:pStyle w:val="wordsection1"/>
        <w:spacing w:before="0" w:beforeAutospacing="0" w:after="0" w:afterAutospacing="0"/>
        <w:ind w:left="1004"/>
        <w:contextualSpacing/>
        <w:rPr>
          <w:rFonts w:ascii="Arial" w:hAnsi="Arial" w:cs="Arial"/>
          <w:b/>
          <w:bCs/>
          <w:color w:val="005EB8"/>
          <w:sz w:val="24"/>
          <w:szCs w:val="24"/>
        </w:rPr>
      </w:pPr>
    </w:p>
    <w:p w14:paraId="1E7E1CDC"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r>
        <w:rPr>
          <w:rFonts w:ascii="Arial" w:hAnsi="Arial" w:cs="Arial"/>
          <w:sz w:val="24"/>
          <w:szCs w:val="24"/>
        </w:rPr>
        <w:t xml:space="preserve">Over the coming weeks, invitations for an autumn/winter booster vaccination will be sent to eligible individuals who have a record of a booster dose at least 91 days prior, but with an apparent incomplete history of a primary course. Individuals in this category who present to sites for vaccination should be reviewed and have their COVID-19 vaccination history confirmed, to ensure the most appropriate vaccine type is administered and dose recorded. Staff are reminded that an incomplete vaccination history should not prevent an individual from receiving the relevant COVID-19 vaccine dose during the autumn/winter programme. The advice on </w:t>
      </w:r>
      <w:hyperlink r:id="rId7" w:history="1">
        <w:r>
          <w:rPr>
            <w:rStyle w:val="Hyperlink"/>
            <w:rFonts w:ascii="Arial" w:hAnsi="Arial" w:cs="Arial"/>
            <w:sz w:val="24"/>
            <w:szCs w:val="24"/>
          </w:rPr>
          <w:t>previous incomplete vaccination</w:t>
        </w:r>
      </w:hyperlink>
      <w:r>
        <w:rPr>
          <w:rFonts w:ascii="Arial" w:hAnsi="Arial" w:cs="Arial"/>
          <w:sz w:val="24"/>
          <w:szCs w:val="24"/>
        </w:rPr>
        <w:t xml:space="preserve"> in the ‘Green Book’ should be followed, noting that in some circumstances a PSD may be required for administration.</w:t>
      </w:r>
    </w:p>
    <w:p w14:paraId="6725DE24" w14:textId="77777777" w:rsidR="00E81706" w:rsidRDefault="00E81706" w:rsidP="00E81706">
      <w:pPr>
        <w:pStyle w:val="wordsection1"/>
        <w:spacing w:before="0" w:beforeAutospacing="0" w:after="0" w:afterAutospacing="0"/>
        <w:ind w:left="284"/>
        <w:contextualSpacing/>
        <w:rPr>
          <w:rFonts w:ascii="Arial" w:hAnsi="Arial" w:cs="Arial"/>
          <w:color w:val="005EB8"/>
          <w:sz w:val="24"/>
          <w:szCs w:val="24"/>
        </w:rPr>
      </w:pPr>
    </w:p>
    <w:p w14:paraId="32C7EA17" w14:textId="77777777" w:rsidR="00E81706" w:rsidRDefault="00E81706" w:rsidP="00E81706">
      <w:pPr>
        <w:pStyle w:val="wordsection1"/>
        <w:numPr>
          <w:ilvl w:val="0"/>
          <w:numId w:val="2"/>
        </w:numPr>
        <w:spacing w:before="0" w:beforeAutospacing="0" w:after="0" w:afterAutospacing="0"/>
        <w:contextualSpacing/>
        <w:rPr>
          <w:rFonts w:ascii="Arial" w:hAnsi="Arial" w:cs="Arial"/>
          <w:b/>
          <w:bCs/>
          <w:color w:val="005EB8"/>
          <w:sz w:val="24"/>
          <w:szCs w:val="24"/>
        </w:rPr>
      </w:pPr>
      <w:r>
        <w:rPr>
          <w:rFonts w:ascii="Arial" w:hAnsi="Arial" w:cs="Arial"/>
          <w:b/>
          <w:bCs/>
          <w:color w:val="005EB8"/>
          <w:sz w:val="24"/>
          <w:szCs w:val="24"/>
        </w:rPr>
        <w:t xml:space="preserve">Clinical Safety Dashboard – Call for your views </w:t>
      </w:r>
      <w:r>
        <w:rPr>
          <w:rFonts w:ascii="Arial" w:hAnsi="Arial" w:cs="Arial"/>
          <w:b/>
          <w:bCs/>
          <w:sz w:val="24"/>
          <w:szCs w:val="24"/>
        </w:rPr>
        <w:t>(ref RVOC9832)</w:t>
      </w:r>
    </w:p>
    <w:p w14:paraId="3A6C341F" w14:textId="77777777" w:rsidR="00E81706" w:rsidRDefault="00E81706" w:rsidP="00E81706">
      <w:pPr>
        <w:pStyle w:val="wordsection1"/>
        <w:spacing w:before="0" w:beforeAutospacing="0" w:after="0" w:afterAutospacing="0"/>
        <w:ind w:left="1004"/>
        <w:contextualSpacing/>
        <w:rPr>
          <w:rFonts w:ascii="Arial" w:hAnsi="Arial" w:cs="Arial"/>
          <w:b/>
          <w:bCs/>
          <w:color w:val="005EB8"/>
          <w:sz w:val="24"/>
          <w:szCs w:val="24"/>
        </w:rPr>
      </w:pPr>
    </w:p>
    <w:p w14:paraId="641852D7"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bookmarkStart w:id="1" w:name="_Hlk123732578"/>
      <w:r>
        <w:rPr>
          <w:rFonts w:ascii="Arial" w:hAnsi="Arial" w:cs="Arial"/>
          <w:sz w:val="24"/>
          <w:szCs w:val="24"/>
        </w:rPr>
        <w:t xml:space="preserve">A </w:t>
      </w:r>
      <w:bookmarkEnd w:id="1"/>
      <w:r>
        <w:fldChar w:fldCharType="begin"/>
      </w:r>
      <w:r>
        <w:instrText xml:space="preserve"> HYPERLINK "https://gbr01.safelinks.protection.outlook.com/?url=https%3A%2F%2Fforms.office.com%2Fe%2FizC7TUX4xg&amp;data=05%7C01%7Cglicb.primarycare%40nhs.net%7Cc0740cbd9de24caadcec08daf257df2d%7C37c354b285b047f5b22207b48d774ee3%7C0%7C0%7C638088756466239320%7CUnknown%7CTWFpbGZsb3d8eyJWIjoiMC4wLjAwMDAiLCJQIjoiV2luMzIiLCJBTiI6Ik1haWwiLCJXVCI6Mn0%3D%7C3000%7C%7C%7C&amp;sdata=KOs4eh0eVvUTpnlCMnCyrdX14Vq%2FLRMj2IbTkmg9IB8%3D&amp;reserved=0" </w:instrText>
      </w:r>
      <w:r>
        <w:fldChar w:fldCharType="separate"/>
      </w:r>
      <w:r>
        <w:rPr>
          <w:rStyle w:val="Hyperlink"/>
          <w:rFonts w:ascii="Arial" w:hAnsi="Arial" w:cs="Arial"/>
          <w:sz w:val="24"/>
          <w:szCs w:val="24"/>
        </w:rPr>
        <w:t>short survey</w:t>
      </w:r>
      <w:r>
        <w:fldChar w:fldCharType="end"/>
      </w:r>
      <w:r>
        <w:rPr>
          <w:rStyle w:val="Hyperlink"/>
          <w:rFonts w:ascii="Arial" w:hAnsi="Arial" w:cs="Arial"/>
          <w:sz w:val="24"/>
          <w:szCs w:val="24"/>
        </w:rPr>
        <w:t xml:space="preserve"> </w:t>
      </w:r>
      <w:r>
        <w:rPr>
          <w:rFonts w:ascii="Arial" w:hAnsi="Arial" w:cs="Arial"/>
          <w:sz w:val="24"/>
          <w:szCs w:val="24"/>
        </w:rPr>
        <w:t>has been launched, to help assess the usefulness of the Clinical Safety Dashboard. Please circulate it to site managers in your region and encourage them to complete it by</w:t>
      </w:r>
      <w:r>
        <w:rPr>
          <w:rFonts w:ascii="Arial" w:hAnsi="Arial" w:cs="Arial"/>
          <w:color w:val="FF0000"/>
          <w:sz w:val="24"/>
          <w:szCs w:val="24"/>
        </w:rPr>
        <w:t xml:space="preserve"> </w:t>
      </w:r>
      <w:r>
        <w:rPr>
          <w:rFonts w:ascii="Arial" w:hAnsi="Arial" w:cs="Arial"/>
          <w:sz w:val="24"/>
          <w:szCs w:val="24"/>
        </w:rPr>
        <w:t>1pm on Friday 13 January.</w:t>
      </w:r>
      <w:r>
        <w:rPr>
          <w:rFonts w:ascii="Arial" w:hAnsi="Arial" w:cs="Arial"/>
          <w:b/>
          <w:bCs/>
          <w:sz w:val="24"/>
          <w:szCs w:val="24"/>
        </w:rPr>
        <w:t xml:space="preserve"> </w:t>
      </w:r>
      <w:r>
        <w:rPr>
          <w:rFonts w:ascii="Arial" w:hAnsi="Arial" w:cs="Arial"/>
          <w:color w:val="000000"/>
          <w:sz w:val="24"/>
          <w:szCs w:val="24"/>
        </w:rPr>
        <w:t>Feedback is also welcomed from anyone at a system or region level, who uses the dashboard or its output as part of QA of risk/assurance systems. We appreciate your support, and i</w:t>
      </w:r>
      <w:r>
        <w:rPr>
          <w:rFonts w:ascii="Arial" w:hAnsi="Arial" w:cs="Arial"/>
          <w:sz w:val="24"/>
          <w:szCs w:val="24"/>
        </w:rPr>
        <w:t>f you have any questions, please contact Rachel Pool (</w:t>
      </w:r>
      <w:hyperlink r:id="rId8" w:history="1">
        <w:r>
          <w:rPr>
            <w:rStyle w:val="Hyperlink"/>
            <w:rFonts w:ascii="Arial" w:hAnsi="Arial" w:cs="Arial"/>
            <w:sz w:val="24"/>
            <w:szCs w:val="24"/>
          </w:rPr>
          <w:t>rachel.pool2@nhs.net</w:t>
        </w:r>
      </w:hyperlink>
      <w:r>
        <w:rPr>
          <w:rFonts w:ascii="Arial" w:hAnsi="Arial" w:cs="Arial"/>
          <w:sz w:val="24"/>
          <w:szCs w:val="24"/>
        </w:rPr>
        <w:t>) or Kelly Hughes (</w:t>
      </w:r>
      <w:hyperlink r:id="rId9" w:history="1">
        <w:r>
          <w:rPr>
            <w:rStyle w:val="Hyperlink"/>
            <w:rFonts w:ascii="Arial" w:hAnsi="Arial" w:cs="Arial"/>
            <w:sz w:val="24"/>
            <w:szCs w:val="24"/>
          </w:rPr>
          <w:t>kelly.hughes8@nhs.net</w:t>
        </w:r>
      </w:hyperlink>
      <w:r>
        <w:rPr>
          <w:rFonts w:ascii="Arial" w:hAnsi="Arial" w:cs="Arial"/>
          <w:sz w:val="24"/>
          <w:szCs w:val="24"/>
        </w:rPr>
        <w:t xml:space="preserve">) </w:t>
      </w:r>
    </w:p>
    <w:p w14:paraId="142EEA2F"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p>
    <w:p w14:paraId="66DACC03" w14:textId="77777777" w:rsidR="00E81706" w:rsidRDefault="00E81706" w:rsidP="00E81706">
      <w:pPr>
        <w:pStyle w:val="wordsection1"/>
        <w:numPr>
          <w:ilvl w:val="0"/>
          <w:numId w:val="2"/>
        </w:numPr>
        <w:spacing w:before="0" w:beforeAutospacing="0" w:after="0" w:afterAutospacing="0"/>
        <w:contextualSpacing/>
        <w:rPr>
          <w:rFonts w:ascii="Arial" w:hAnsi="Arial" w:cs="Arial"/>
          <w:b/>
          <w:bCs/>
          <w:color w:val="005EB8"/>
          <w:sz w:val="24"/>
          <w:szCs w:val="24"/>
        </w:rPr>
      </w:pPr>
      <w:r>
        <w:rPr>
          <w:rFonts w:ascii="Arial" w:hAnsi="Arial" w:cs="Arial"/>
          <w:b/>
          <w:bCs/>
          <w:color w:val="005EB8"/>
          <w:sz w:val="24"/>
          <w:szCs w:val="24"/>
        </w:rPr>
        <w:lastRenderedPageBreak/>
        <w:t>Clinical Safety Dashboard – update</w:t>
      </w:r>
    </w:p>
    <w:p w14:paraId="72D17F1B" w14:textId="77777777" w:rsidR="00E81706" w:rsidRDefault="00E81706" w:rsidP="00E81706">
      <w:pPr>
        <w:pStyle w:val="wordsection1"/>
        <w:spacing w:before="0" w:beforeAutospacing="0" w:after="0" w:afterAutospacing="0"/>
        <w:ind w:left="1004"/>
        <w:contextualSpacing/>
        <w:rPr>
          <w:rFonts w:ascii="Arial" w:hAnsi="Arial" w:cs="Arial"/>
          <w:b/>
          <w:bCs/>
          <w:color w:val="005EB8"/>
          <w:sz w:val="24"/>
          <w:szCs w:val="24"/>
        </w:rPr>
      </w:pPr>
    </w:p>
    <w:p w14:paraId="6A061DDA"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r>
        <w:rPr>
          <w:rFonts w:ascii="Arial" w:hAnsi="Arial" w:cs="Arial"/>
          <w:sz w:val="24"/>
          <w:szCs w:val="24"/>
        </w:rPr>
        <w:t>The Clinical Safety Dashboard includes 21 different metrics that identify potential variations from standard practice. The metrics are derived from routine data recorded in Foundry, so we cannot tell whether the exceptions are due to changes in clinical practice or recording errors. We need all site managers to review their own data on a regular basis. Clicking on the ‘totals’ for their site will generate a list of events, including the time and date of vaccination. The actual clinical record can then be examined and, when needed, further action taken.</w:t>
      </w:r>
    </w:p>
    <w:p w14:paraId="07B41588"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p>
    <w:p w14:paraId="22AAB403"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r>
        <w:rPr>
          <w:rFonts w:ascii="Arial" w:hAnsi="Arial" w:cs="Arial"/>
          <w:sz w:val="24"/>
          <w:szCs w:val="24"/>
        </w:rPr>
        <w:t>The dashboard has recently been updated to reflect current best practice and the introduction of new vaccines. It’s primarily a quality assurance tool that enables site managers to continually improve practice and reduce errors to the lowest level possible. It also provides an early warning system if there is a sudden change in practice (for example, a spike in recording errors after deployment of a new version of a POC system, or clinical errors after supply of new equipment or vaccines).</w:t>
      </w:r>
    </w:p>
    <w:p w14:paraId="09C89403"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p>
    <w:p w14:paraId="6EE2DE0D" w14:textId="77777777" w:rsidR="00E81706" w:rsidRDefault="00E81706" w:rsidP="00E81706">
      <w:pPr>
        <w:pStyle w:val="wordsection1"/>
        <w:numPr>
          <w:ilvl w:val="0"/>
          <w:numId w:val="2"/>
        </w:numPr>
        <w:spacing w:before="0" w:beforeAutospacing="0" w:after="0" w:afterAutospacing="0"/>
        <w:contextualSpacing/>
        <w:rPr>
          <w:rFonts w:ascii="Arial" w:hAnsi="Arial" w:cs="Arial"/>
          <w:b/>
          <w:bCs/>
          <w:color w:val="005EB8"/>
          <w:sz w:val="24"/>
          <w:szCs w:val="24"/>
        </w:rPr>
      </w:pPr>
      <w:proofErr w:type="spellStart"/>
      <w:r>
        <w:rPr>
          <w:rFonts w:ascii="Arial" w:hAnsi="Arial" w:cs="Arial"/>
          <w:b/>
          <w:bCs/>
          <w:color w:val="005EB8"/>
          <w:sz w:val="24"/>
          <w:szCs w:val="24"/>
        </w:rPr>
        <w:t>Nuvaxovid</w:t>
      </w:r>
      <w:proofErr w:type="spellEnd"/>
      <w:r>
        <w:rPr>
          <w:rFonts w:ascii="Arial" w:hAnsi="Arial" w:cs="Arial"/>
          <w:b/>
          <w:bCs/>
          <w:color w:val="005EB8"/>
          <w:sz w:val="24"/>
          <w:szCs w:val="24"/>
        </w:rPr>
        <w:t xml:space="preserve"> survey results </w:t>
      </w:r>
    </w:p>
    <w:p w14:paraId="106D83F3" w14:textId="77777777" w:rsidR="00E81706" w:rsidRDefault="00E81706" w:rsidP="00E81706">
      <w:pPr>
        <w:pStyle w:val="wordsection1"/>
        <w:spacing w:before="0" w:beforeAutospacing="0" w:after="0" w:afterAutospacing="0"/>
        <w:ind w:left="1004"/>
        <w:contextualSpacing/>
        <w:rPr>
          <w:rFonts w:ascii="Arial" w:hAnsi="Arial" w:cs="Arial"/>
          <w:b/>
          <w:bCs/>
          <w:color w:val="005EB8"/>
          <w:sz w:val="24"/>
          <w:szCs w:val="24"/>
        </w:rPr>
      </w:pPr>
    </w:p>
    <w:p w14:paraId="546BB20E"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r>
        <w:rPr>
          <w:rFonts w:ascii="Arial" w:hAnsi="Arial" w:cs="Arial"/>
          <w:sz w:val="24"/>
          <w:szCs w:val="24"/>
        </w:rPr>
        <w:t xml:space="preserve">Thank you to everyone who competed the data return request about the use of </w:t>
      </w:r>
      <w:proofErr w:type="spellStart"/>
      <w:r>
        <w:rPr>
          <w:rFonts w:ascii="Arial" w:hAnsi="Arial" w:cs="Arial"/>
          <w:sz w:val="24"/>
          <w:szCs w:val="24"/>
        </w:rPr>
        <w:t>Nuvaxovid</w:t>
      </w:r>
      <w:proofErr w:type="spellEnd"/>
      <w:r>
        <w:rPr>
          <w:rFonts w:ascii="Arial" w:hAnsi="Arial" w:cs="Arial"/>
          <w:sz w:val="24"/>
          <w:szCs w:val="24"/>
        </w:rPr>
        <w:t xml:space="preserve"> in complex vaccination clinics. The data will be used to assess access to the service and to help inform the planning and management of the specialist vaccination service for COVID-19 going forward. Analysis of the data returns will be sent to those sites carrying out complex vaccination clinics, via an NVOC cascade next week.  </w:t>
      </w:r>
    </w:p>
    <w:p w14:paraId="429AA671" w14:textId="77777777" w:rsidR="00E81706" w:rsidRDefault="00E81706" w:rsidP="00E81706">
      <w:pPr>
        <w:pStyle w:val="wordsection1"/>
        <w:spacing w:before="0" w:beforeAutospacing="0" w:after="0" w:afterAutospacing="0"/>
        <w:contextualSpacing/>
        <w:rPr>
          <w:rFonts w:ascii="Arial" w:hAnsi="Arial" w:cs="Arial"/>
          <w:color w:val="005EB8"/>
          <w:sz w:val="24"/>
          <w:szCs w:val="24"/>
        </w:rPr>
      </w:pPr>
    </w:p>
    <w:p w14:paraId="41F01158" w14:textId="77777777" w:rsidR="00E81706" w:rsidRDefault="00E81706" w:rsidP="00E81706">
      <w:pPr>
        <w:pStyle w:val="wordsection1"/>
        <w:numPr>
          <w:ilvl w:val="0"/>
          <w:numId w:val="2"/>
        </w:numPr>
        <w:spacing w:before="0" w:beforeAutospacing="0" w:after="0" w:afterAutospacing="0"/>
        <w:contextualSpacing/>
        <w:rPr>
          <w:rFonts w:ascii="Arial" w:hAnsi="Arial" w:cs="Arial"/>
          <w:b/>
          <w:bCs/>
          <w:color w:val="005EB8"/>
          <w:sz w:val="24"/>
          <w:szCs w:val="24"/>
        </w:rPr>
      </w:pPr>
      <w:r>
        <w:rPr>
          <w:rFonts w:ascii="Arial" w:hAnsi="Arial" w:cs="Arial"/>
          <w:b/>
          <w:bCs/>
          <w:color w:val="005EB8"/>
          <w:sz w:val="24"/>
          <w:szCs w:val="24"/>
        </w:rPr>
        <w:t>Care homes guidance – Infection Prevention Control (IPC) update</w:t>
      </w:r>
    </w:p>
    <w:p w14:paraId="31D64412" w14:textId="77777777" w:rsidR="00E81706" w:rsidRDefault="00E81706" w:rsidP="00E81706">
      <w:pPr>
        <w:pStyle w:val="wordsection1"/>
        <w:spacing w:before="0" w:beforeAutospacing="0" w:after="0" w:afterAutospacing="0"/>
        <w:ind w:left="1004"/>
        <w:contextualSpacing/>
        <w:rPr>
          <w:rFonts w:ascii="Arial" w:hAnsi="Arial" w:cs="Arial"/>
          <w:b/>
          <w:bCs/>
          <w:color w:val="005EB8"/>
          <w:sz w:val="24"/>
          <w:szCs w:val="24"/>
        </w:rPr>
      </w:pPr>
    </w:p>
    <w:p w14:paraId="03FE3DFC" w14:textId="77777777" w:rsidR="00E81706" w:rsidRDefault="00E81706" w:rsidP="00E81706">
      <w:pPr>
        <w:pStyle w:val="wordsection1"/>
        <w:spacing w:before="0" w:beforeAutospacing="0" w:after="0" w:afterAutospacing="0"/>
        <w:ind w:left="284"/>
        <w:contextualSpacing/>
      </w:pPr>
      <w:r>
        <w:rPr>
          <w:rFonts w:ascii="Arial" w:hAnsi="Arial" w:cs="Arial"/>
          <w:sz w:val="24"/>
          <w:szCs w:val="24"/>
        </w:rPr>
        <w:t xml:space="preserve">Please see updated guidance for infection prevention and control on adult social care settings: </w:t>
      </w:r>
      <w:hyperlink r:id="rId10" w:history="1">
        <w:r>
          <w:rPr>
            <w:rStyle w:val="Hyperlink"/>
            <w:rFonts w:ascii="Arial" w:hAnsi="Arial" w:cs="Arial"/>
            <w:sz w:val="24"/>
            <w:szCs w:val="24"/>
          </w:rPr>
          <w:t>Infection prevention and control in adult social care: COVID-19 supplement - GOV.UK (www.gov.uk)</w:t>
        </w:r>
      </w:hyperlink>
      <w:r>
        <w:rPr>
          <w:rStyle w:val="Hyperlink"/>
          <w:rFonts w:ascii="Arial" w:hAnsi="Arial" w:cs="Arial"/>
          <w:sz w:val="24"/>
          <w:szCs w:val="24"/>
        </w:rPr>
        <w:t>.</w:t>
      </w:r>
      <w:r>
        <w:rPr>
          <w:rStyle w:val="Hyperlink"/>
          <w:rFonts w:ascii="Arial" w:hAnsi="Arial" w:cs="Arial"/>
          <w:color w:val="auto"/>
          <w:sz w:val="24"/>
          <w:szCs w:val="24"/>
        </w:rPr>
        <w:t xml:space="preserve"> </w:t>
      </w:r>
      <w:r>
        <w:rPr>
          <w:rFonts w:ascii="Arial" w:hAnsi="Arial" w:cs="Arial"/>
          <w:sz w:val="24"/>
          <w:szCs w:val="24"/>
        </w:rPr>
        <w:t xml:space="preserve">Key changes include an announcement on masks (and the recommendation of a risk-based approach), and changes to outbreak management in care homes. </w:t>
      </w:r>
    </w:p>
    <w:p w14:paraId="4B9C9F0C"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p>
    <w:p w14:paraId="528E7988" w14:textId="77777777" w:rsidR="00E81706" w:rsidRDefault="00E81706" w:rsidP="00E81706">
      <w:pPr>
        <w:pStyle w:val="wordsection1"/>
        <w:numPr>
          <w:ilvl w:val="0"/>
          <w:numId w:val="2"/>
        </w:numPr>
        <w:spacing w:before="0" w:beforeAutospacing="0" w:after="0" w:afterAutospacing="0"/>
        <w:contextualSpacing/>
        <w:rPr>
          <w:rFonts w:ascii="Arial" w:hAnsi="Arial" w:cs="Arial"/>
          <w:b/>
          <w:bCs/>
          <w:color w:val="005EB8"/>
          <w:sz w:val="24"/>
          <w:szCs w:val="24"/>
        </w:rPr>
      </w:pPr>
      <w:r>
        <w:rPr>
          <w:rFonts w:ascii="Arial" w:hAnsi="Arial" w:cs="Arial"/>
          <w:b/>
          <w:bCs/>
          <w:color w:val="005EB8"/>
          <w:sz w:val="24"/>
          <w:szCs w:val="24"/>
        </w:rPr>
        <w:t>Case Studies</w:t>
      </w:r>
    </w:p>
    <w:p w14:paraId="3ED93F02" w14:textId="77777777" w:rsidR="00E81706" w:rsidRDefault="00E81706" w:rsidP="00E81706">
      <w:pPr>
        <w:pStyle w:val="wordsection1"/>
        <w:spacing w:before="0" w:beforeAutospacing="0" w:after="0" w:afterAutospacing="0"/>
        <w:ind w:left="1004"/>
        <w:contextualSpacing/>
        <w:rPr>
          <w:rFonts w:ascii="Arial" w:hAnsi="Arial" w:cs="Arial"/>
          <w:b/>
          <w:bCs/>
          <w:color w:val="005EB8"/>
          <w:sz w:val="24"/>
          <w:szCs w:val="24"/>
        </w:rPr>
      </w:pPr>
    </w:p>
    <w:p w14:paraId="2F52F915" w14:textId="77777777" w:rsidR="00E81706" w:rsidRDefault="00E81706" w:rsidP="00E81706">
      <w:pPr>
        <w:pStyle w:val="wordsection1"/>
        <w:spacing w:before="0" w:beforeAutospacing="0" w:after="0" w:afterAutospacing="0"/>
        <w:ind w:left="284"/>
        <w:contextualSpacing/>
        <w:rPr>
          <w:rFonts w:ascii="Arial" w:hAnsi="Arial" w:cs="Arial"/>
          <w:sz w:val="24"/>
          <w:szCs w:val="24"/>
        </w:rPr>
      </w:pPr>
      <w:r>
        <w:rPr>
          <w:rFonts w:ascii="Arial" w:hAnsi="Arial" w:cs="Arial"/>
          <w:sz w:val="24"/>
          <w:szCs w:val="24"/>
        </w:rPr>
        <w:t xml:space="preserve">Case studies are available on the COVID-19 Vaccination Programme Shared Learning platform, to share learning and improvement across the programme. A summary of all case studies available is available </w:t>
      </w:r>
      <w:hyperlink r:id="rId11" w:history="1">
        <w:r>
          <w:rPr>
            <w:rStyle w:val="Hyperlink"/>
            <w:rFonts w:ascii="Arial" w:hAnsi="Arial" w:cs="Arial"/>
            <w:sz w:val="24"/>
            <w:szCs w:val="24"/>
          </w:rPr>
          <w:t>here</w:t>
        </w:r>
      </w:hyperlink>
      <w:r>
        <w:rPr>
          <w:rStyle w:val="Hyperlink"/>
          <w:rFonts w:ascii="Arial" w:hAnsi="Arial" w:cs="Arial"/>
          <w:sz w:val="24"/>
          <w:szCs w:val="24"/>
        </w:rPr>
        <w:t>,</w:t>
      </w:r>
      <w:r>
        <w:rPr>
          <w:rFonts w:ascii="Arial" w:hAnsi="Arial" w:cs="Arial"/>
          <w:sz w:val="24"/>
          <w:szCs w:val="24"/>
        </w:rPr>
        <w:t xml:space="preserve"> and the latest additions include:</w:t>
      </w:r>
    </w:p>
    <w:p w14:paraId="1D2A6DCD" w14:textId="77777777" w:rsidR="00E81706" w:rsidRDefault="00E81706" w:rsidP="00E81706">
      <w:pPr>
        <w:pStyle w:val="wordsection1"/>
        <w:spacing w:before="0" w:beforeAutospacing="0" w:after="0" w:afterAutospacing="0"/>
        <w:contextualSpacing/>
        <w:rPr>
          <w:rFonts w:ascii="Arial" w:hAnsi="Arial" w:cs="Arial"/>
        </w:rPr>
      </w:pPr>
    </w:p>
    <w:p w14:paraId="7FC31CC6" w14:textId="77777777" w:rsidR="00E81706" w:rsidRDefault="00E81706" w:rsidP="00E81706">
      <w:pPr>
        <w:pStyle w:val="wordsection1"/>
        <w:numPr>
          <w:ilvl w:val="0"/>
          <w:numId w:val="3"/>
        </w:numPr>
        <w:spacing w:before="0" w:beforeAutospacing="0" w:after="0" w:afterAutospacing="0"/>
        <w:rPr>
          <w:rFonts w:ascii="Arial" w:eastAsia="Times New Roman" w:hAnsi="Arial" w:cs="Arial"/>
          <w:sz w:val="24"/>
          <w:szCs w:val="24"/>
        </w:rPr>
      </w:pPr>
      <w:r>
        <w:rPr>
          <w:rFonts w:ascii="Arial" w:eastAsia="Times New Roman" w:hAnsi="Arial" w:cs="Arial"/>
          <w:sz w:val="24"/>
          <w:szCs w:val="24"/>
        </w:rPr>
        <w:t xml:space="preserve">A description of the referral and triage process for a ‘Specialist </w:t>
      </w:r>
      <w:proofErr w:type="spellStart"/>
      <w:r>
        <w:rPr>
          <w:rFonts w:ascii="Arial" w:eastAsia="Times New Roman" w:hAnsi="Arial" w:cs="Arial"/>
          <w:sz w:val="24"/>
          <w:szCs w:val="24"/>
        </w:rPr>
        <w:t>Nuvaxovid</w:t>
      </w:r>
      <w:proofErr w:type="spellEnd"/>
      <w:r>
        <w:rPr>
          <w:rFonts w:ascii="Arial" w:eastAsia="Times New Roman" w:hAnsi="Arial" w:cs="Arial"/>
          <w:sz w:val="24"/>
          <w:szCs w:val="24"/>
        </w:rPr>
        <w:t xml:space="preserve"> Service’ in Bristol, North Somerset and South Gloucestershire – </w:t>
      </w:r>
      <w:hyperlink r:id="rId12" w:history="1">
        <w:r>
          <w:rPr>
            <w:rStyle w:val="Hyperlink"/>
            <w:rFonts w:ascii="Arial" w:eastAsia="Times New Roman" w:hAnsi="Arial" w:cs="Arial"/>
            <w:sz w:val="24"/>
            <w:szCs w:val="24"/>
          </w:rPr>
          <w:t>link</w:t>
        </w:r>
      </w:hyperlink>
      <w:r>
        <w:rPr>
          <w:rFonts w:ascii="Arial" w:eastAsia="Times New Roman" w:hAnsi="Arial" w:cs="Arial"/>
          <w:sz w:val="24"/>
          <w:szCs w:val="24"/>
        </w:rPr>
        <w:t>.</w:t>
      </w:r>
    </w:p>
    <w:p w14:paraId="7B33C6D2" w14:textId="77777777" w:rsidR="00E81706" w:rsidRDefault="00E81706" w:rsidP="00E81706">
      <w:pPr>
        <w:pStyle w:val="wordsection1"/>
        <w:numPr>
          <w:ilvl w:val="0"/>
          <w:numId w:val="3"/>
        </w:numPr>
        <w:spacing w:before="0" w:beforeAutospacing="0" w:after="0" w:afterAutospacing="0"/>
        <w:rPr>
          <w:rFonts w:ascii="Arial" w:eastAsia="Times New Roman" w:hAnsi="Arial" w:cs="Arial"/>
          <w:sz w:val="24"/>
          <w:szCs w:val="24"/>
        </w:rPr>
      </w:pPr>
      <w:r>
        <w:rPr>
          <w:rFonts w:ascii="Arial" w:eastAsia="Times New Roman" w:hAnsi="Arial" w:cs="Arial"/>
          <w:sz w:val="24"/>
          <w:szCs w:val="24"/>
        </w:rPr>
        <w:t xml:space="preserve">How a joint venture at Feltham and Bedfont PCN enabled them to vaccinate as part of a wider health promotion campaign at a local factory – </w:t>
      </w:r>
      <w:hyperlink r:id="rId13" w:history="1">
        <w:r>
          <w:rPr>
            <w:rStyle w:val="Hyperlink"/>
            <w:rFonts w:ascii="Arial" w:eastAsia="Times New Roman" w:hAnsi="Arial" w:cs="Arial"/>
            <w:sz w:val="24"/>
            <w:szCs w:val="24"/>
          </w:rPr>
          <w:t>link</w:t>
        </w:r>
      </w:hyperlink>
      <w:r>
        <w:rPr>
          <w:rFonts w:ascii="Arial" w:eastAsia="Times New Roman" w:hAnsi="Arial" w:cs="Arial"/>
          <w:sz w:val="24"/>
          <w:szCs w:val="24"/>
        </w:rPr>
        <w:t>.</w:t>
      </w:r>
    </w:p>
    <w:p w14:paraId="0C5F5FE7" w14:textId="77777777" w:rsidR="00E81706" w:rsidRDefault="00E81706" w:rsidP="00E81706">
      <w:pPr>
        <w:pStyle w:val="wordsection1"/>
        <w:spacing w:before="0" w:beforeAutospacing="0" w:after="0" w:afterAutospacing="0"/>
        <w:ind w:left="720"/>
        <w:contextualSpacing/>
        <w:rPr>
          <w:rFonts w:ascii="Arial" w:hAnsi="Arial" w:cs="Arial"/>
          <w:sz w:val="24"/>
          <w:szCs w:val="24"/>
        </w:rPr>
      </w:pPr>
    </w:p>
    <w:p w14:paraId="41EECCE7" w14:textId="77777777" w:rsidR="00E81706" w:rsidRDefault="00E81706" w:rsidP="00E81706">
      <w:pPr>
        <w:pStyle w:val="wordsection1"/>
        <w:spacing w:before="0" w:beforeAutospacing="0" w:after="0" w:afterAutospacing="0"/>
        <w:ind w:left="360"/>
        <w:contextualSpacing/>
        <w:rPr>
          <w:rFonts w:ascii="Arial" w:hAnsi="Arial" w:cs="Arial"/>
          <w:sz w:val="24"/>
          <w:szCs w:val="24"/>
        </w:rPr>
      </w:pPr>
      <w:r>
        <w:rPr>
          <w:rFonts w:ascii="Arial" w:hAnsi="Arial" w:cs="Arial"/>
          <w:sz w:val="24"/>
          <w:szCs w:val="24"/>
        </w:rPr>
        <w:t xml:space="preserve">Please email your suggestions for an improvement or shared learning case study to email </w:t>
      </w:r>
      <w:hyperlink r:id="rId14" w:history="1">
        <w:r>
          <w:rPr>
            <w:rStyle w:val="Hyperlink"/>
            <w:rFonts w:ascii="Arial" w:hAnsi="Arial" w:cs="Arial"/>
            <w:sz w:val="24"/>
            <w:szCs w:val="24"/>
          </w:rPr>
          <w:t>c6.cag@nhs.net</w:t>
        </w:r>
      </w:hyperlink>
      <w:r>
        <w:rPr>
          <w:rFonts w:ascii="Arial" w:hAnsi="Arial" w:cs="Arial"/>
          <w:sz w:val="24"/>
          <w:szCs w:val="24"/>
        </w:rPr>
        <w:t>.</w:t>
      </w:r>
    </w:p>
    <w:p w14:paraId="0137854D" w14:textId="77777777" w:rsidR="00E81706" w:rsidRDefault="00E81706" w:rsidP="00E81706">
      <w:pPr>
        <w:pStyle w:val="wordsection1"/>
        <w:spacing w:before="0" w:beforeAutospacing="0" w:after="0" w:afterAutospacing="0" w:line="360" w:lineRule="auto"/>
        <w:rPr>
          <w:rFonts w:ascii="Arial" w:hAnsi="Arial" w:cs="Arial"/>
          <w:color w:val="000000"/>
          <w:sz w:val="24"/>
          <w:szCs w:val="24"/>
        </w:rPr>
      </w:pPr>
    </w:p>
    <w:p w14:paraId="4A01841C" w14:textId="77777777" w:rsidR="00E81706" w:rsidRDefault="00E81706" w:rsidP="00E81706">
      <w:pPr>
        <w:pStyle w:val="wordsection1"/>
        <w:spacing w:before="0" w:beforeAutospacing="0" w:after="0" w:afterAutospacing="0"/>
        <w:rPr>
          <w:rFonts w:ascii="Arial" w:hAnsi="Arial" w:cs="Arial"/>
          <w:sz w:val="24"/>
          <w:szCs w:val="24"/>
        </w:rPr>
      </w:pPr>
      <w:r>
        <w:rPr>
          <w:rFonts w:ascii="Arial" w:hAnsi="Arial" w:cs="Arial"/>
          <w:sz w:val="24"/>
          <w:szCs w:val="24"/>
        </w:rPr>
        <w:t>Kind regards,</w:t>
      </w:r>
    </w:p>
    <w:p w14:paraId="3735F54C" w14:textId="77777777" w:rsidR="00E81706" w:rsidRDefault="00E81706" w:rsidP="00E81706">
      <w:pPr>
        <w:pStyle w:val="wordsection1"/>
        <w:spacing w:before="0" w:beforeAutospacing="0" w:after="0" w:afterAutospacing="0"/>
        <w:rPr>
          <w:lang w:eastAsia="en-US"/>
        </w:rPr>
      </w:pPr>
    </w:p>
    <w:p w14:paraId="2C1042B9" w14:textId="77777777" w:rsidR="00E81706" w:rsidRDefault="00E81706" w:rsidP="00E81706">
      <w:pPr>
        <w:pStyle w:val="wordsection1"/>
        <w:spacing w:before="0" w:beforeAutospacing="0" w:after="0" w:afterAutospacing="0"/>
        <w:rPr>
          <w:rFonts w:ascii="Arial" w:hAnsi="Arial" w:cs="Arial"/>
          <w:b/>
          <w:bCs/>
        </w:rPr>
      </w:pPr>
      <w:r>
        <w:rPr>
          <w:rFonts w:ascii="Arial" w:hAnsi="Arial" w:cs="Arial"/>
        </w:rPr>
        <w:t xml:space="preserve">Eleanor Hunt </w:t>
      </w:r>
      <w:r>
        <w:rPr>
          <w:rFonts w:ascii="Arial" w:hAnsi="Arial" w:cs="Arial"/>
          <w:sz w:val="18"/>
          <w:szCs w:val="18"/>
        </w:rPr>
        <w:t xml:space="preserve">(Pronouns: She/Her) </w:t>
      </w:r>
      <w:r>
        <w:rPr>
          <w:rFonts w:ascii="Arial" w:hAnsi="Arial" w:cs="Arial"/>
          <w:sz w:val="18"/>
          <w:szCs w:val="18"/>
        </w:rPr>
        <w:br/>
      </w:r>
      <w:r>
        <w:rPr>
          <w:rFonts w:ascii="Arial" w:hAnsi="Arial" w:cs="Arial"/>
          <w:b/>
          <w:bCs/>
        </w:rPr>
        <w:t>RVOC Manager,</w:t>
      </w:r>
      <w:r>
        <w:rPr>
          <w:rFonts w:ascii="Arial" w:hAnsi="Arial" w:cs="Arial"/>
        </w:rPr>
        <w:t xml:space="preserve"> </w:t>
      </w:r>
      <w:r>
        <w:rPr>
          <w:rFonts w:ascii="Arial" w:hAnsi="Arial" w:cs="Arial"/>
          <w:b/>
          <w:bCs/>
        </w:rPr>
        <w:t>SW Regional Vaccination Operations Centre</w:t>
      </w:r>
    </w:p>
    <w:p w14:paraId="06DC6C15" w14:textId="77777777" w:rsidR="00E81706" w:rsidRDefault="00E81706" w:rsidP="00E81706">
      <w:pPr>
        <w:pStyle w:val="wordsection1"/>
        <w:spacing w:before="0" w:beforeAutospacing="0" w:after="0" w:afterAutospacing="0"/>
        <w:rPr>
          <w:rFonts w:ascii="Arial" w:hAnsi="Arial" w:cs="Arial"/>
        </w:rPr>
      </w:pPr>
      <w:r>
        <w:rPr>
          <w:rFonts w:ascii="Arial" w:hAnsi="Arial" w:cs="Arial"/>
        </w:rPr>
        <w:t xml:space="preserve">NHS England – </w:t>
      </w:r>
      <w:proofErr w:type="gramStart"/>
      <w:r>
        <w:rPr>
          <w:rFonts w:ascii="Arial" w:hAnsi="Arial" w:cs="Arial"/>
        </w:rPr>
        <w:t>South West</w:t>
      </w:r>
      <w:proofErr w:type="gramEnd"/>
    </w:p>
    <w:p w14:paraId="45AB5108" w14:textId="512B0FEF" w:rsidR="00E81706" w:rsidRDefault="00E81706" w:rsidP="00E81706">
      <w:r>
        <w:rPr>
          <w:rFonts w:ascii="Arial" w:hAnsi="Arial" w:cs="Arial"/>
        </w:rPr>
        <w:t xml:space="preserve">Email: </w:t>
      </w:r>
      <w:hyperlink r:id="rId15" w:history="1">
        <w:r>
          <w:rPr>
            <w:rStyle w:val="Hyperlink"/>
            <w:rFonts w:ascii="Arial" w:hAnsi="Arial" w:cs="Arial"/>
            <w:color w:val="4472C4"/>
            <w:lang w:val="en-US"/>
          </w:rPr>
          <w:t>england.swcovid19-voc1@nhs.net</w:t>
        </w:r>
      </w:hyperlink>
      <w:r>
        <w:rPr>
          <w:rFonts w:ascii="Arial" w:hAnsi="Arial" w:cs="Arial"/>
          <w:lang w:val="en-US"/>
        </w:rPr>
        <w:t xml:space="preserve"> Website: </w:t>
      </w:r>
      <w:hyperlink r:id="rId16" w:history="1">
        <w:r>
          <w:rPr>
            <w:rStyle w:val="Hyperlink"/>
            <w:rFonts w:ascii="Arial" w:hAnsi="Arial" w:cs="Arial"/>
            <w:color w:val="4472C4"/>
            <w:lang w:val="en-US"/>
          </w:rPr>
          <w:t>www.england.nhs.uk</w:t>
        </w:r>
      </w:hyperlink>
      <w:r>
        <w:rPr>
          <w:rFonts w:ascii="Arial" w:hAnsi="Arial" w:cs="Arial"/>
          <w:u w:val="single"/>
          <w:lang w:val="en-US"/>
        </w:rPr>
        <w:t xml:space="preserve"> </w:t>
      </w:r>
      <w:r>
        <w:rPr>
          <w:rFonts w:ascii="Arial" w:hAnsi="Arial" w:cs="Arial"/>
          <w:u w:val="single"/>
          <w:lang w:val="en-US"/>
        </w:rPr>
        <w:br/>
      </w:r>
    </w:p>
    <w:sectPr w:rsidR="00E81706" w:rsidSect="00E817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BD9"/>
    <w:multiLevelType w:val="hybridMultilevel"/>
    <w:tmpl w:val="6D8CEF54"/>
    <w:lvl w:ilvl="0" w:tplc="D3944CC4">
      <w:start w:val="1"/>
      <w:numFmt w:val="decimal"/>
      <w:lvlText w:val="%1."/>
      <w:lvlJc w:val="left"/>
      <w:pPr>
        <w:ind w:left="1069" w:hanging="72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 w15:restartNumberingAfterBreak="0">
    <w:nsid w:val="488724F4"/>
    <w:multiLevelType w:val="hybridMultilevel"/>
    <w:tmpl w:val="CC3A84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2E83350"/>
    <w:multiLevelType w:val="hybridMultilevel"/>
    <w:tmpl w:val="A372E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06"/>
    <w:rsid w:val="00E81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0E02"/>
  <w15:chartTrackingRefBased/>
  <w15:docId w15:val="{0DF03B0A-7B09-4D5E-9B39-9FB5A1BE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7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1706"/>
    <w:rPr>
      <w:color w:val="0563C1"/>
      <w:u w:val="single"/>
    </w:rPr>
  </w:style>
  <w:style w:type="paragraph" w:customStyle="1" w:styleId="wordsection1">
    <w:name w:val="wordsection1"/>
    <w:basedOn w:val="Normal"/>
    <w:uiPriority w:val="1"/>
    <w:rsid w:val="00E81706"/>
    <w:pPr>
      <w:spacing w:before="100" w:beforeAutospacing="1" w:after="100" w:afterAutospacing="1"/>
    </w:pPr>
    <w:rPr>
      <w:lang w:eastAsia="en-GB"/>
    </w:rPr>
  </w:style>
  <w:style w:type="paragraph" w:customStyle="1" w:styleId="xmsonormal">
    <w:name w:val="x_msonormal"/>
    <w:basedOn w:val="Normal"/>
    <w:uiPriority w:val="99"/>
    <w:rsid w:val="00E81706"/>
    <w:pPr>
      <w:spacing w:before="100" w:beforeAutospacing="1" w:after="100" w:afterAutospacing="1"/>
    </w:pPr>
    <w:rPr>
      <w:lang w:eastAsia="en-GB"/>
    </w:rPr>
  </w:style>
  <w:style w:type="character" w:customStyle="1" w:styleId="contentpasted0">
    <w:name w:val="contentpasted0"/>
    <w:basedOn w:val="DefaultParagraphFont"/>
    <w:rsid w:val="00E81706"/>
  </w:style>
  <w:style w:type="character" w:customStyle="1" w:styleId="markjyh503u34">
    <w:name w:val="markjyh503u34"/>
    <w:basedOn w:val="DefaultParagraphFont"/>
    <w:rsid w:val="00E8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pool2@nhs.net" TargetMode="External"/><Relationship Id="rId13" Type="http://schemas.openxmlformats.org/officeDocument/2006/relationships/hyperlink" Target="https://gbr01.safelinks.protection.outlook.com/?url=https%3A%2F%2Ffuture.nhs.uk%2FCovidVaccinations%2Fpage%2Fcasestudy%2Fview%3FobjectID%3D40295248&amp;data=05%7C01%7Cglicb.primarycare%40nhs.net%7Cc0740cbd9de24caadcec08daf257df2d%7C37c354b285b047f5b22207b48d774ee3%7C0%7C0%7C638088756466239320%7CUnknown%7CTWFpbGZsb3d8eyJWIjoiMC4wLjAwMDAiLCJQIjoiV2luMzIiLCJBTiI6Ik1haWwiLCJXVCI6Mn0%3D%7C3000%7C%7C%7C&amp;sdata=azH4dzR2Was2OWBiSyIjM08qs6gvJ1EJG1TpVQSdLiM%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assets.publishing.service.gov.uk%2Fgovernment%2Fuploads%2Fsystem%2Fuploads%2Fattachment_data%2Ffile%2F1102459%2FGreenbook-chapter-14a-4September22.pdf&amp;data=05%7C01%7Cglicb.primarycare%40nhs.net%7Cc0740cbd9de24caadcec08daf257df2d%7C37c354b285b047f5b22207b48d774ee3%7C0%7C0%7C638088756466239320%7CUnknown%7CTWFpbGZsb3d8eyJWIjoiMC4wLjAwMDAiLCJQIjoiV2luMzIiLCJBTiI6Ik1haWwiLCJXVCI6Mn0%3D%7C3000%7C%7C%7C&amp;sdata=vyvMC2n2ay6o1eM8wEP8A36znRt3PNc7m1t5X5tUpCY%3D&amp;reserved=0" TargetMode="External"/><Relationship Id="rId12" Type="http://schemas.openxmlformats.org/officeDocument/2006/relationships/hyperlink" Target="https://gbr01.safelinks.protection.outlook.com/?url=https%3A%2F%2Ffuture.nhs.uk%2FCovidVaccinations%2Fpage%2Fcasestudy%2Fview%3FobjectID%3D40267216%26done%3DOBJChangesSaved&amp;data=05%7C01%7Cglicb.primarycare%40nhs.net%7Cc0740cbd9de24caadcec08daf257df2d%7C37c354b285b047f5b22207b48d774ee3%7C0%7C0%7C638088756466239320%7CUnknown%7CTWFpbGZsb3d8eyJWIjoiMC4wLjAwMDAiLCJQIjoiV2luMzIiLCJBTiI6Ik1haWwiLCJXVCI6Mn0%3D%7C3000%7C%7C%7C&amp;sdata=RAmr%2FWEULqc90Ab3QWheC%2BqJ6xu7zXub%2B7tzu5GeFa4%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br01.safelinks.protection.outlook.com/?url=http%3A%2F%2Fwww.england.nhs.uk%2F&amp;data=05%7C01%7Cglicb.primarycare%40nhs.net%7Cc0740cbd9de24caadcec08daf257df2d%7C37c354b285b047f5b22207b48d774ee3%7C0%7C0%7C638088756466239320%7CUnknown%7CTWFpbGZsb3d8eyJWIjoiMC4wLjAwMDAiLCJQIjoiV2luMzIiLCJBTiI6Ik1haWwiLCJXVCI6Mn0%3D%7C3000%7C%7C%7C&amp;sdata=o7SO6dWMbfZBUrmUN5HgpxWsOn4EPLVZF5rlkvyVB0M%3D&amp;reserved=0" TargetMode="External"/><Relationship Id="rId1" Type="http://schemas.openxmlformats.org/officeDocument/2006/relationships/numbering" Target="numbering.xml"/><Relationship Id="rId6" Type="http://schemas.openxmlformats.org/officeDocument/2006/relationships/hyperlink" Target="https://gbr01.safelinks.protection.outlook.com/?url=https%3A%2F%2Fwww.gov.uk%2Fgovernment%2Fpublications%2Fnational-protocol-for-comirnaty-10-microgramdose-covid-19-mrna-vaccine&amp;data=05%7C01%7Cglicb.primarycare%40nhs.net%7Cc0740cbd9de24caadcec08daf257df2d%7C37c354b285b047f5b22207b48d774ee3%7C0%7C0%7C638088756466239320%7CUnknown%7CTWFpbGZsb3d8eyJWIjoiMC4wLjAwMDAiLCJQIjoiV2luMzIiLCJBTiI6Ik1haWwiLCJXVCI6Mn0%3D%7C3000%7C%7C%7C&amp;sdata=CfKMwf1fzjVMaEIGMTnN7RKV7TYvTUDpVKpnnqv6uS8%3D&amp;reserved=0" TargetMode="External"/><Relationship Id="rId11" Type="http://schemas.openxmlformats.org/officeDocument/2006/relationships/hyperlink" Target="https://gbr01.safelinks.protection.outlook.com/?url=https%3A%2F%2Ffuture.nhs.uk%2FCovidVaccinations%2Fview%3FobjectID%3D37983184&amp;data=05%7C01%7Cglicb.primarycare%40nhs.net%7Cc0740cbd9de24caadcec08daf257df2d%7C37c354b285b047f5b22207b48d774ee3%7C0%7C0%7C638088756466239320%7CUnknown%7CTWFpbGZsb3d8eyJWIjoiMC4wLjAwMDAiLCJQIjoiV2luMzIiLCJBTiI6Ik1haWwiLCJXVCI6Mn0%3D%7C3000%7C%7C%7C&amp;sdata=%2FdMuR%2FLVrChaom29v%2BQQ2IJ%2FxoBO0GQa7H4DJfXiUu8%3D&amp;reserved=0" TargetMode="External"/><Relationship Id="rId5" Type="http://schemas.openxmlformats.org/officeDocument/2006/relationships/hyperlink" Target="https://gbr01.safelinks.protection.outlook.com/?url=https%3A%2F%2Fwww.england.nhs.uk%2Fcoronavirus%2Fpublication%2Fpatient-group-direction-for-comirnaty-10micrograms-dose-concentrate-for-children-5-11-years%2F&amp;data=05%7C01%7Cglicb.primarycare%40nhs.net%7Cc0740cbd9de24caadcec08daf257df2d%7C37c354b285b047f5b22207b48d774ee3%7C0%7C0%7C638088756466083497%7CUnknown%7CTWFpbGZsb3d8eyJWIjoiMC4wLjAwMDAiLCJQIjoiV2luMzIiLCJBTiI6Ik1haWwiLCJXVCI6Mn0%3D%7C3000%7C%7C%7C&amp;sdata=sLHPWOa%2FtHlzKj4McUynSLrlRunvI56yqmCqtw9%2FvFU%3D&amp;reserved=0" TargetMode="External"/><Relationship Id="rId15" Type="http://schemas.openxmlformats.org/officeDocument/2006/relationships/hyperlink" Target="mailto:england.swcovid19-voc1@nhs.net" TargetMode="External"/><Relationship Id="rId10" Type="http://schemas.openxmlformats.org/officeDocument/2006/relationships/hyperlink" Target="https://gbr01.safelinks.protection.outlook.com/?url=https%3A%2F%2Fwww.gov.uk%2Fgovernment%2Fpublications%2Finfection-prevention-and-control-in-adult-social-care-covid-19-supplement%3Futm_medium%3Demail%26utm_campaign%3Dgovuk-notifications-single-page%26utm_source%3Dcd8f1caf-af28-413e-bf28-a237542e70b0%26utm_content%3Dimmediately&amp;data=05%7C01%7Cglicb.primarycare%40nhs.net%7Cc0740cbd9de24caadcec08daf257df2d%7C37c354b285b047f5b22207b48d774ee3%7C0%7C0%7C638088756466239320%7CUnknown%7CTWFpbGZsb3d8eyJWIjoiMC4wLjAwMDAiLCJQIjoiV2luMzIiLCJBTiI6Ik1haWwiLCJXVCI6Mn0%3D%7C3000%7C%7C%7C&amp;sdata=bUKCB6jP5OHCGrqbu5cKFT%2BHQW0BmntRBbaZzQUWWB8%3D&amp;reserved=0" TargetMode="External"/><Relationship Id="rId4" Type="http://schemas.openxmlformats.org/officeDocument/2006/relationships/webSettings" Target="webSettings.xml"/><Relationship Id="rId9" Type="http://schemas.openxmlformats.org/officeDocument/2006/relationships/hyperlink" Target="mailto:kelly.hughes8@nhs.net" TargetMode="External"/><Relationship Id="rId14" Type="http://schemas.openxmlformats.org/officeDocument/2006/relationships/hyperlink" Target="mailto:c6.cag@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1620</Words>
  <Characters>9236</Characters>
  <Application>Microsoft Office Word</Application>
  <DocSecurity>0</DocSecurity>
  <Lines>76</Lines>
  <Paragraphs>21</Paragraphs>
  <ScaleCrop>false</ScaleCrop>
  <Company>GLOUCESTERSHIRE HOSPITALS NHS FOUNDATION TRUST</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2023-01-09T16:05:00Z</dcterms:created>
  <dcterms:modified xsi:type="dcterms:W3CDTF">2023-01-09T16:07:00Z</dcterms:modified>
</cp:coreProperties>
</file>