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C087" w14:textId="77777777" w:rsidR="00A77707" w:rsidRDefault="00A77707" w:rsidP="00A77707">
      <w:pPr>
        <w:pStyle w:val="wordsection1"/>
      </w:pPr>
    </w:p>
    <w:p w14:paraId="30A5FEC5" w14:textId="77777777" w:rsidR="00A77707" w:rsidRDefault="00A77707" w:rsidP="00A77707">
      <w:pPr>
        <w:pStyle w:val="wordsection1"/>
        <w:rPr>
          <w:lang w:eastAsia="en-GB"/>
        </w:rPr>
      </w:pPr>
    </w:p>
    <w:tbl>
      <w:tblPr>
        <w:tblpPr w:leftFromText="180" w:rightFromText="180" w:vertAnchor="text"/>
        <w:tblW w:w="10573" w:type="dxa"/>
        <w:tblCellMar>
          <w:left w:w="0" w:type="dxa"/>
          <w:right w:w="0" w:type="dxa"/>
        </w:tblCellMar>
        <w:tblLook w:val="04A0" w:firstRow="1" w:lastRow="0" w:firstColumn="1" w:lastColumn="0" w:noHBand="0" w:noVBand="1"/>
      </w:tblPr>
      <w:tblGrid>
        <w:gridCol w:w="10573"/>
      </w:tblGrid>
      <w:tr w:rsidR="00A77707" w14:paraId="7630E94A" w14:textId="77777777" w:rsidTr="00A77707">
        <w:trPr>
          <w:trHeight w:val="1195"/>
        </w:trPr>
        <w:tc>
          <w:tcPr>
            <w:tcW w:w="10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2B8BA1" w14:textId="77777777" w:rsidR="00A77707" w:rsidRDefault="00A77707">
            <w:pPr>
              <w:rPr>
                <w:b/>
                <w:bCs/>
                <w:sz w:val="56"/>
                <w:szCs w:val="56"/>
              </w:rPr>
            </w:pPr>
          </w:p>
          <w:p w14:paraId="009884F2" w14:textId="77777777" w:rsidR="00A77707" w:rsidRDefault="00A77707">
            <w:pPr>
              <w:rPr>
                <w:b/>
                <w:bCs/>
                <w:sz w:val="56"/>
                <w:szCs w:val="56"/>
              </w:rPr>
            </w:pPr>
          </w:p>
        </w:tc>
      </w:tr>
      <w:tr w:rsidR="00A77707" w14:paraId="43EEA8FD" w14:textId="77777777" w:rsidTr="00A77707">
        <w:trPr>
          <w:trHeight w:val="591"/>
        </w:trPr>
        <w:tc>
          <w:tcPr>
            <w:tcW w:w="10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2B09F" w14:textId="3336203F" w:rsidR="00A77707" w:rsidRDefault="00A77707">
            <w:pPr>
              <w:rPr>
                <w:b/>
                <w:bCs/>
                <w:sz w:val="56"/>
                <w:szCs w:val="56"/>
              </w:rPr>
            </w:pPr>
            <w:r>
              <w:rPr>
                <w:noProof/>
              </w:rPr>
              <w:drawing>
                <wp:anchor distT="0" distB="0" distL="114300" distR="114300" simplePos="0" relativeHeight="251659264" behindDoc="0" locked="0" layoutInCell="1" allowOverlap="1" wp14:anchorId="63F96605" wp14:editId="3D20ED23">
                  <wp:simplePos x="0" y="0"/>
                  <wp:positionH relativeFrom="column">
                    <wp:posOffset>-76200</wp:posOffset>
                  </wp:positionH>
                  <wp:positionV relativeFrom="paragraph">
                    <wp:posOffset>-939800</wp:posOffset>
                  </wp:positionV>
                  <wp:extent cx="6645910" cy="135763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1357630"/>
                          </a:xfrm>
                          <a:prstGeom prst="rect">
                            <a:avLst/>
                          </a:prstGeom>
                          <a:noFill/>
                        </pic:spPr>
                      </pic:pic>
                    </a:graphicData>
                  </a:graphic>
                  <wp14:sizeRelH relativeFrom="page">
                    <wp14:pctWidth>0</wp14:pctWidth>
                  </wp14:sizeRelH>
                  <wp14:sizeRelV relativeFrom="page">
                    <wp14:pctHeight>0</wp14:pctHeight>
                  </wp14:sizeRelV>
                </wp:anchor>
              </w:drawing>
            </w:r>
          </w:p>
        </w:tc>
      </w:tr>
      <w:tr w:rsidR="00A77707" w14:paraId="683DDC2B" w14:textId="77777777" w:rsidTr="00A77707">
        <w:trPr>
          <w:trHeight w:val="412"/>
        </w:trPr>
        <w:tc>
          <w:tcPr>
            <w:tcW w:w="10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5DAF6" w14:textId="77777777" w:rsidR="00A77707" w:rsidRDefault="00A77707">
            <w:pPr>
              <w:rPr>
                <w:b/>
                <w:bCs/>
                <w:sz w:val="56"/>
                <w:szCs w:val="56"/>
              </w:rPr>
            </w:pPr>
          </w:p>
        </w:tc>
      </w:tr>
      <w:tr w:rsidR="00A77707" w14:paraId="3264AE5B" w14:textId="77777777" w:rsidTr="00A77707">
        <w:trPr>
          <w:trHeight w:val="1408"/>
        </w:trPr>
        <w:tc>
          <w:tcPr>
            <w:tcW w:w="10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43E6E" w14:textId="77777777" w:rsidR="00A77707" w:rsidRDefault="00A77707">
            <w:pPr>
              <w:rPr>
                <w:b/>
                <w:bCs/>
                <w:sz w:val="56"/>
                <w:szCs w:val="56"/>
              </w:rPr>
            </w:pPr>
            <w:proofErr w:type="gramStart"/>
            <w:r>
              <w:rPr>
                <w:b/>
                <w:bCs/>
                <w:sz w:val="56"/>
                <w:szCs w:val="56"/>
              </w:rPr>
              <w:t>South West</w:t>
            </w:r>
            <w:proofErr w:type="gramEnd"/>
            <w:r>
              <w:rPr>
                <w:b/>
                <w:bCs/>
                <w:sz w:val="56"/>
                <w:szCs w:val="56"/>
              </w:rPr>
              <w:t xml:space="preserve"> Primary Care Round Up </w:t>
            </w:r>
          </w:p>
          <w:p w14:paraId="774BCF82" w14:textId="77777777" w:rsidR="00A77707" w:rsidRDefault="00A77707">
            <w:pPr>
              <w:rPr>
                <w:b/>
                <w:bCs/>
                <w:sz w:val="56"/>
                <w:szCs w:val="56"/>
              </w:rPr>
            </w:pPr>
            <w:r>
              <w:rPr>
                <w:b/>
                <w:bCs/>
                <w:sz w:val="56"/>
                <w:szCs w:val="56"/>
              </w:rPr>
              <w:t>15 December 2022</w:t>
            </w:r>
          </w:p>
        </w:tc>
      </w:tr>
      <w:tr w:rsidR="00A77707" w14:paraId="0689BBA8" w14:textId="77777777" w:rsidTr="00A77707">
        <w:trPr>
          <w:trHeight w:val="935"/>
        </w:trPr>
        <w:tc>
          <w:tcPr>
            <w:tcW w:w="10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81A3E9" w14:textId="77777777" w:rsidR="00A77707" w:rsidRDefault="00A77707">
            <w:pPr>
              <w:pStyle w:val="Heading2"/>
              <w:shd w:val="clear" w:color="auto" w:fill="005EB8"/>
              <w:spacing w:before="0" w:beforeAutospacing="0" w:after="150" w:afterAutospacing="0"/>
              <w:textAlignment w:val="baseline"/>
              <w:rPr>
                <w:rFonts w:eastAsia="Times New Roman"/>
                <w:color w:val="FFFFFF"/>
                <w:sz w:val="32"/>
                <w:szCs w:val="32"/>
                <w:lang w:eastAsia="en-US"/>
              </w:rPr>
            </w:pPr>
            <w:r>
              <w:rPr>
                <w:rFonts w:eastAsia="Times New Roman"/>
                <w:color w:val="FFFFFF"/>
                <w:sz w:val="32"/>
                <w:szCs w:val="32"/>
                <w:lang w:eastAsia="en-US"/>
              </w:rPr>
              <w:t xml:space="preserve">SW PCN Development Prospectus </w:t>
            </w:r>
          </w:p>
          <w:p w14:paraId="177A0D18" w14:textId="77777777" w:rsidR="00A77707" w:rsidRDefault="00A77707">
            <w:pPr>
              <w:pStyle w:val="NormalWeb"/>
              <w:shd w:val="clear" w:color="auto" w:fill="FFFFFF"/>
              <w:spacing w:before="0" w:beforeAutospacing="0" w:after="0" w:afterAutospacing="0"/>
              <w:rPr>
                <w:color w:val="252424"/>
                <w:sz w:val="24"/>
                <w:szCs w:val="24"/>
                <w:lang w:val="en-US"/>
              </w:rPr>
            </w:pPr>
            <w:r>
              <w:rPr>
                <w:color w:val="252424"/>
                <w:sz w:val="24"/>
                <w:szCs w:val="24"/>
                <w:lang w:val="en-US"/>
              </w:rPr>
              <w:t xml:space="preserve">Following the </w:t>
            </w:r>
            <w:proofErr w:type="gramStart"/>
            <w:r>
              <w:rPr>
                <w:color w:val="252424"/>
                <w:sz w:val="24"/>
                <w:szCs w:val="24"/>
                <w:lang w:val="en-US"/>
              </w:rPr>
              <w:t>South West</w:t>
            </w:r>
            <w:proofErr w:type="gramEnd"/>
            <w:r>
              <w:rPr>
                <w:color w:val="252424"/>
                <w:sz w:val="24"/>
                <w:szCs w:val="24"/>
                <w:lang w:val="en-US"/>
              </w:rPr>
              <w:t xml:space="preserve"> PCN Listening Events, running since July, the NHSE SW has developed this offer of support for primary care colleagues with a key focus on the themes and insights that PCN CDs and PCN Managers have raised. The offer is being delivered by the </w:t>
            </w:r>
            <w:proofErr w:type="gramStart"/>
            <w:r>
              <w:rPr>
                <w:color w:val="252424"/>
                <w:sz w:val="24"/>
                <w:szCs w:val="24"/>
                <w:lang w:val="en-US"/>
              </w:rPr>
              <w:t>South Central</w:t>
            </w:r>
            <w:proofErr w:type="gramEnd"/>
            <w:r>
              <w:rPr>
                <w:color w:val="252424"/>
                <w:sz w:val="24"/>
                <w:szCs w:val="24"/>
                <w:lang w:val="en-US"/>
              </w:rPr>
              <w:t xml:space="preserve"> West Commissioning Support Unit on behalf of NHS England South West.</w:t>
            </w:r>
          </w:p>
          <w:p w14:paraId="40551754" w14:textId="77777777" w:rsidR="00A77707" w:rsidRDefault="00A77707">
            <w:pPr>
              <w:pStyle w:val="NormalWeb"/>
              <w:shd w:val="clear" w:color="auto" w:fill="FFFFFF"/>
              <w:spacing w:before="0" w:beforeAutospacing="0" w:after="0" w:afterAutospacing="0"/>
              <w:rPr>
                <w:color w:val="252424"/>
                <w:sz w:val="24"/>
                <w:szCs w:val="24"/>
                <w:lang w:val="en-US"/>
              </w:rPr>
            </w:pPr>
          </w:p>
          <w:p w14:paraId="1B6CC18B" w14:textId="77777777" w:rsidR="00A77707" w:rsidRDefault="00A77707">
            <w:pPr>
              <w:pStyle w:val="NormalWeb"/>
              <w:shd w:val="clear" w:color="auto" w:fill="FFFFFF"/>
              <w:spacing w:before="0" w:beforeAutospacing="0" w:after="0" w:afterAutospacing="0"/>
              <w:rPr>
                <w:color w:val="252424"/>
                <w:sz w:val="24"/>
                <w:szCs w:val="24"/>
                <w:lang w:val="en-US"/>
              </w:rPr>
            </w:pPr>
            <w:r>
              <w:rPr>
                <w:color w:val="252424"/>
                <w:sz w:val="24"/>
                <w:szCs w:val="24"/>
                <w:lang w:val="en-US"/>
              </w:rPr>
              <w:t xml:space="preserve">The breadth of the </w:t>
            </w:r>
            <w:proofErr w:type="spellStart"/>
            <w:r>
              <w:rPr>
                <w:color w:val="252424"/>
                <w:sz w:val="24"/>
                <w:szCs w:val="24"/>
                <w:lang w:val="en-US"/>
              </w:rPr>
              <w:t>programme</w:t>
            </w:r>
            <w:proofErr w:type="spellEnd"/>
            <w:r>
              <w:rPr>
                <w:color w:val="252424"/>
                <w:sz w:val="24"/>
                <w:szCs w:val="24"/>
                <w:lang w:val="en-US"/>
              </w:rPr>
              <w:t xml:space="preserve"> is designed to reflect the needs of individual PCNs and support their development and the shifting requirements of General Practice. This </w:t>
            </w:r>
            <w:proofErr w:type="spellStart"/>
            <w:r>
              <w:rPr>
                <w:color w:val="252424"/>
                <w:sz w:val="24"/>
                <w:szCs w:val="24"/>
                <w:lang w:val="en-US"/>
              </w:rPr>
              <w:t>programme</w:t>
            </w:r>
            <w:proofErr w:type="spellEnd"/>
            <w:r>
              <w:rPr>
                <w:color w:val="252424"/>
                <w:sz w:val="24"/>
                <w:szCs w:val="24"/>
                <w:lang w:val="en-US"/>
              </w:rPr>
              <w:t xml:space="preserve"> also includes the People Power Webinars. For any </w:t>
            </w:r>
            <w:proofErr w:type="gramStart"/>
            <w:r>
              <w:rPr>
                <w:color w:val="252424"/>
                <w:sz w:val="24"/>
                <w:szCs w:val="24"/>
                <w:lang w:val="en-US"/>
              </w:rPr>
              <w:t>queries  or</w:t>
            </w:r>
            <w:proofErr w:type="gramEnd"/>
            <w:r>
              <w:rPr>
                <w:color w:val="252424"/>
                <w:sz w:val="24"/>
                <w:szCs w:val="24"/>
                <w:lang w:val="en-US"/>
              </w:rPr>
              <w:t xml:space="preserve"> questions please contact </w:t>
            </w:r>
            <w:hyperlink r:id="rId5" w:history="1">
              <w:r>
                <w:rPr>
                  <w:rStyle w:val="Hyperlink"/>
                  <w:sz w:val="24"/>
                  <w:szCs w:val="24"/>
                  <w:lang w:val="en-US"/>
                </w:rPr>
                <w:t>england.swgptp@nhs.net</w:t>
              </w:r>
            </w:hyperlink>
            <w:r>
              <w:rPr>
                <w:color w:val="252424"/>
                <w:sz w:val="24"/>
                <w:szCs w:val="24"/>
              </w:rPr>
              <w:t xml:space="preserve"> </w:t>
            </w:r>
          </w:p>
          <w:p w14:paraId="3649A4AC" w14:textId="77777777" w:rsidR="00A77707" w:rsidRDefault="00A77707">
            <w:pPr>
              <w:pStyle w:val="NormalWeb"/>
              <w:shd w:val="clear" w:color="auto" w:fill="FFFFFF"/>
              <w:spacing w:before="0" w:beforeAutospacing="0" w:after="0" w:afterAutospacing="0"/>
              <w:rPr>
                <w:color w:val="252424"/>
                <w:sz w:val="20"/>
                <w:szCs w:val="20"/>
                <w:lang w:val="en-US"/>
              </w:rPr>
            </w:pPr>
          </w:p>
          <w:p w14:paraId="423F36A5" w14:textId="77777777" w:rsidR="00A77707" w:rsidRDefault="00A77707">
            <w:pPr>
              <w:pStyle w:val="NormalWeb"/>
              <w:spacing w:before="120" w:beforeAutospacing="0" w:after="120" w:afterAutospacing="0" w:line="288" w:lineRule="auto"/>
              <w:rPr>
                <w:color w:val="252424"/>
                <w:sz w:val="24"/>
                <w:szCs w:val="24"/>
                <w:lang w:val="en-US"/>
              </w:rPr>
            </w:pPr>
            <w:r>
              <w:rPr>
                <w:color w:val="252424"/>
                <w:sz w:val="24"/>
                <w:szCs w:val="24"/>
                <w:lang w:val="en-US"/>
              </w:rPr>
              <w:t xml:space="preserve">Please see attached or for further information on how to book onto the sessions and registering your interest can be found at </w:t>
            </w:r>
          </w:p>
          <w:p w14:paraId="0E2041D2" w14:textId="77777777" w:rsidR="00A77707" w:rsidRDefault="00A77707">
            <w:pPr>
              <w:pStyle w:val="NormalWeb"/>
              <w:spacing w:before="120" w:beforeAutospacing="0" w:after="120" w:afterAutospacing="0" w:line="288" w:lineRule="auto"/>
              <w:ind w:left="720"/>
              <w:rPr>
                <w:rFonts w:ascii="Times New Roman" w:hAnsi="Times New Roman" w:cs="Times New Roman"/>
                <w:color w:val="0070C0"/>
                <w:sz w:val="20"/>
                <w:szCs w:val="20"/>
              </w:rPr>
            </w:pPr>
            <w:r>
              <w:rPr>
                <w:color w:val="0070C0"/>
                <w:sz w:val="24"/>
                <w:szCs w:val="24"/>
                <w:lang w:val="en-US"/>
              </w:rPr>
              <w:t> </w:t>
            </w:r>
            <w:hyperlink r:id="rId6" w:history="1">
              <w:r>
                <w:rPr>
                  <w:rStyle w:val="Hyperlink"/>
                  <w:color w:val="0070C0"/>
                  <w:spacing w:val="10"/>
                  <w:sz w:val="24"/>
                  <w:szCs w:val="24"/>
                </w:rPr>
                <w:t>Join the Conversation – Primary Care Development and Support Programme</w:t>
              </w:r>
            </w:hyperlink>
          </w:p>
        </w:tc>
      </w:tr>
      <w:tr w:rsidR="00A77707" w14:paraId="6F08EAE1" w14:textId="77777777" w:rsidTr="00A77707">
        <w:trPr>
          <w:trHeight w:val="935"/>
        </w:trPr>
        <w:tc>
          <w:tcPr>
            <w:tcW w:w="10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0CF81" w14:textId="77777777" w:rsidR="00A77707" w:rsidRDefault="00A77707">
            <w:pPr>
              <w:pStyle w:val="Heading2"/>
              <w:shd w:val="clear" w:color="auto" w:fill="005EB8"/>
              <w:spacing w:before="0" w:beforeAutospacing="0" w:after="150" w:afterAutospacing="0"/>
              <w:textAlignment w:val="baseline"/>
              <w:rPr>
                <w:rFonts w:eastAsia="Times New Roman"/>
                <w:color w:val="FFFFFF"/>
                <w:sz w:val="32"/>
                <w:szCs w:val="32"/>
                <w:lang w:eastAsia="en-US"/>
              </w:rPr>
            </w:pPr>
            <w:r>
              <w:rPr>
                <w:rFonts w:eastAsia="Times New Roman"/>
                <w:color w:val="FFFFFF"/>
                <w:sz w:val="32"/>
                <w:szCs w:val="32"/>
                <w:lang w:eastAsia="en-US"/>
              </w:rPr>
              <w:t>Going Further for Winter Priorities – Falls and Primary Care Opportunities</w:t>
            </w:r>
          </w:p>
          <w:p w14:paraId="6D557FE5" w14:textId="77777777" w:rsidR="00A77707" w:rsidRDefault="00A77707">
            <w:pPr>
              <w:pStyle w:val="Heading2"/>
              <w:shd w:val="clear" w:color="auto" w:fill="005EB8"/>
              <w:spacing w:before="0" w:beforeAutospacing="0" w:after="150" w:afterAutospacing="0"/>
              <w:textAlignment w:val="baseline"/>
              <w:rPr>
                <w:rFonts w:eastAsia="Times New Roman"/>
                <w:color w:val="FFFFFF"/>
                <w:sz w:val="4"/>
                <w:szCs w:val="4"/>
                <w:lang w:eastAsia="en-US"/>
              </w:rPr>
            </w:pPr>
          </w:p>
          <w:p w14:paraId="04187419" w14:textId="77777777" w:rsidR="00A77707" w:rsidRDefault="00A77707">
            <w:pPr>
              <w:rPr>
                <w:sz w:val="24"/>
                <w:szCs w:val="24"/>
              </w:rPr>
            </w:pPr>
            <w:r>
              <w:rPr>
                <w:sz w:val="24"/>
                <w:szCs w:val="24"/>
              </w:rPr>
              <w:t xml:space="preserve">There is a real emphasis on managing falls within the recent guidance published – </w:t>
            </w:r>
            <w:hyperlink r:id="rId7" w:history="1">
              <w:r>
                <w:rPr>
                  <w:rStyle w:val="Hyperlink"/>
                  <w:sz w:val="24"/>
                  <w:szCs w:val="24"/>
                </w:rPr>
                <w:t>Going Further for Winter</w:t>
              </w:r>
            </w:hyperlink>
            <w:r>
              <w:rPr>
                <w:sz w:val="24"/>
                <w:szCs w:val="24"/>
              </w:rPr>
              <w:t>, specifically around the establishment of a community falls response service and understanding the reasons for high rates of conveyance to hospital from Care Homes and working to understand the reasons why rates of conveyance vary across different Care Homes.</w:t>
            </w:r>
          </w:p>
          <w:p w14:paraId="392A98F5" w14:textId="77777777" w:rsidR="00A77707" w:rsidRDefault="00A77707">
            <w:pPr>
              <w:rPr>
                <w:sz w:val="24"/>
                <w:szCs w:val="24"/>
              </w:rPr>
            </w:pPr>
          </w:p>
          <w:p w14:paraId="323AB97C" w14:textId="77777777" w:rsidR="00A77707" w:rsidRDefault="00A77707">
            <w:pPr>
              <w:rPr>
                <w:sz w:val="24"/>
                <w:szCs w:val="24"/>
              </w:rPr>
            </w:pPr>
            <w:r>
              <w:rPr>
                <w:sz w:val="24"/>
                <w:szCs w:val="24"/>
              </w:rPr>
              <w:t xml:space="preserve">Please find </w:t>
            </w:r>
            <w:proofErr w:type="gramStart"/>
            <w:r>
              <w:rPr>
                <w:sz w:val="24"/>
                <w:szCs w:val="24"/>
              </w:rPr>
              <w:t>attached  a</w:t>
            </w:r>
            <w:proofErr w:type="gramEnd"/>
            <w:r>
              <w:rPr>
                <w:sz w:val="24"/>
                <w:szCs w:val="24"/>
              </w:rPr>
              <w:t xml:space="preserve"> </w:t>
            </w:r>
            <w:proofErr w:type="spellStart"/>
            <w:r>
              <w:rPr>
                <w:sz w:val="24"/>
                <w:szCs w:val="24"/>
              </w:rPr>
              <w:t>powerpoint</w:t>
            </w:r>
            <w:proofErr w:type="spellEnd"/>
            <w:r>
              <w:rPr>
                <w:sz w:val="24"/>
                <w:szCs w:val="24"/>
              </w:rPr>
              <w:t xml:space="preserve"> that pulls together a range of materials, resources and ideas for systems/primary care teams/multidisciplinary teams to support your work with both Care Homes and elsewhere in your neighbourhood. The </w:t>
            </w:r>
            <w:proofErr w:type="spellStart"/>
            <w:r>
              <w:rPr>
                <w:sz w:val="24"/>
                <w:szCs w:val="24"/>
              </w:rPr>
              <w:t>powerpoint</w:t>
            </w:r>
            <w:proofErr w:type="spellEnd"/>
            <w:r>
              <w:rPr>
                <w:sz w:val="24"/>
                <w:szCs w:val="24"/>
              </w:rPr>
              <w:t xml:space="preserve"> has a range of opportunities to reflect on how you are working to support patients to live well </w:t>
            </w:r>
            <w:r>
              <w:rPr>
                <w:b/>
                <w:bCs/>
                <w:i/>
                <w:iCs/>
                <w:sz w:val="24"/>
                <w:szCs w:val="24"/>
              </w:rPr>
              <w:t>and</w:t>
            </w:r>
            <w:r>
              <w:rPr>
                <w:sz w:val="24"/>
                <w:szCs w:val="24"/>
              </w:rPr>
              <w:t xml:space="preserve"> according to what matters to them. </w:t>
            </w:r>
          </w:p>
          <w:p w14:paraId="11EA92A8" w14:textId="77777777" w:rsidR="00A77707" w:rsidRDefault="00A77707"/>
        </w:tc>
      </w:tr>
      <w:tr w:rsidR="00A77707" w14:paraId="2DA0AF91" w14:textId="77777777" w:rsidTr="00A77707">
        <w:trPr>
          <w:trHeight w:val="935"/>
        </w:trPr>
        <w:tc>
          <w:tcPr>
            <w:tcW w:w="10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27AE40" w14:textId="77777777" w:rsidR="00A77707" w:rsidRDefault="00A77707">
            <w:pPr>
              <w:pStyle w:val="Heading2"/>
              <w:shd w:val="clear" w:color="auto" w:fill="005EB8"/>
              <w:spacing w:before="0" w:beforeAutospacing="0" w:after="150" w:afterAutospacing="0"/>
              <w:textAlignment w:val="baseline"/>
              <w:rPr>
                <w:rFonts w:eastAsia="Times New Roman"/>
                <w:color w:val="FFFFFF"/>
                <w:sz w:val="32"/>
                <w:szCs w:val="32"/>
                <w:lang w:eastAsia="en-US"/>
              </w:rPr>
            </w:pPr>
            <w:r>
              <w:rPr>
                <w:rFonts w:eastAsia="Times New Roman"/>
                <w:color w:val="FFFFFF"/>
                <w:sz w:val="22"/>
                <w:szCs w:val="22"/>
                <w:lang w:eastAsia="en-US"/>
              </w:rPr>
              <w:lastRenderedPageBreak/>
              <w:t xml:space="preserve">  </w:t>
            </w:r>
            <w:r>
              <w:rPr>
                <w:rFonts w:eastAsia="Times New Roman"/>
                <w:color w:val="000000"/>
                <w:sz w:val="22"/>
                <w:szCs w:val="22"/>
                <w:lang w:eastAsia="en-US"/>
              </w:rPr>
              <w:t> </w:t>
            </w:r>
            <w:r>
              <w:rPr>
                <w:rFonts w:eastAsia="Times New Roman"/>
                <w:color w:val="000000"/>
              </w:rPr>
              <w:t xml:space="preserve"> </w:t>
            </w:r>
            <w:r>
              <w:rPr>
                <w:rFonts w:eastAsia="Times New Roman"/>
                <w:color w:val="FFFFFF"/>
              </w:rPr>
              <w:t>PCN Clinical Director Listening Events taking a break over December and January</w:t>
            </w:r>
          </w:p>
          <w:p w14:paraId="4154B879" w14:textId="77777777" w:rsidR="00A77707" w:rsidRDefault="00A77707">
            <w:pPr>
              <w:pStyle w:val="xxmsonormal"/>
              <w:shd w:val="clear" w:color="auto" w:fill="FFFFFF"/>
              <w:rPr>
                <w:color w:val="000000"/>
                <w:lang w:eastAsia="en-US"/>
              </w:rPr>
            </w:pPr>
          </w:p>
          <w:p w14:paraId="6A35D105" w14:textId="77777777" w:rsidR="00A77707" w:rsidRDefault="00A77707">
            <w:pPr>
              <w:shd w:val="clear" w:color="auto" w:fill="FFFFFF"/>
              <w:rPr>
                <w:sz w:val="24"/>
                <w:szCs w:val="24"/>
              </w:rPr>
            </w:pPr>
            <w:r>
              <w:rPr>
                <w:color w:val="000000"/>
                <w:sz w:val="24"/>
                <w:szCs w:val="24"/>
              </w:rPr>
              <w:t>In recognition of the current pressures and challenges that this winter is having on primary care and the wider health and social care system, the next Listening Event will be scheduled for February. We will email out the date nearer the time.</w:t>
            </w:r>
          </w:p>
        </w:tc>
      </w:tr>
      <w:tr w:rsidR="00A77707" w14:paraId="0F140159" w14:textId="77777777" w:rsidTr="00A77707">
        <w:trPr>
          <w:trHeight w:val="935"/>
        </w:trPr>
        <w:tc>
          <w:tcPr>
            <w:tcW w:w="10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7C2618" w14:textId="77777777" w:rsidR="00A77707" w:rsidRDefault="00A77707">
            <w:pPr>
              <w:pStyle w:val="Heading2"/>
              <w:shd w:val="clear" w:color="auto" w:fill="005EB8"/>
              <w:spacing w:before="0" w:beforeAutospacing="0" w:after="150" w:afterAutospacing="0"/>
              <w:textAlignment w:val="baseline"/>
              <w:rPr>
                <w:rFonts w:eastAsia="Times New Roman"/>
                <w:color w:val="FFFFFF"/>
                <w:sz w:val="32"/>
                <w:szCs w:val="32"/>
                <w:lang w:eastAsia="en-US"/>
              </w:rPr>
            </w:pPr>
            <w:r>
              <w:rPr>
                <w:rFonts w:eastAsia="Times New Roman"/>
                <w:color w:val="FFFFFF"/>
                <w:sz w:val="24"/>
                <w:szCs w:val="24"/>
                <w:lang w:eastAsia="en-US"/>
              </w:rPr>
              <w:t xml:space="preserve">  </w:t>
            </w:r>
            <w:r>
              <w:rPr>
                <w:rFonts w:ascii="Arial" w:eastAsia="Times New Roman" w:hAnsi="Arial" w:cs="Arial"/>
                <w:color w:val="000000"/>
                <w:sz w:val="24"/>
                <w:szCs w:val="24"/>
                <w:lang w:eastAsia="en-US"/>
              </w:rPr>
              <w:t> </w:t>
            </w:r>
            <w:r>
              <w:rPr>
                <w:rFonts w:eastAsia="Times New Roman"/>
                <w:color w:val="FFFFFF"/>
                <w:sz w:val="32"/>
                <w:szCs w:val="32"/>
                <w:lang w:eastAsia="en-US"/>
              </w:rPr>
              <w:t>Recent Updates on SW Primary Care NHS Futures pages</w:t>
            </w:r>
          </w:p>
          <w:p w14:paraId="1DCE2716" w14:textId="77777777" w:rsidR="00A77707" w:rsidRDefault="00A77707">
            <w:pPr>
              <w:pStyle w:val="Heading2"/>
              <w:shd w:val="clear" w:color="auto" w:fill="005EB8"/>
              <w:spacing w:before="0" w:beforeAutospacing="0" w:after="150" w:afterAutospacing="0"/>
              <w:textAlignment w:val="baseline"/>
              <w:rPr>
                <w:rFonts w:eastAsia="Times New Roman"/>
                <w:sz w:val="24"/>
                <w:szCs w:val="24"/>
                <w:lang w:eastAsia="en-US"/>
              </w:rPr>
            </w:pPr>
          </w:p>
          <w:p w14:paraId="08BE2B98" w14:textId="77777777" w:rsidR="00A77707" w:rsidRDefault="00A77707">
            <w:pPr>
              <w:pStyle w:val="NormalWeb"/>
              <w:spacing w:before="0" w:beforeAutospacing="0" w:after="0" w:afterAutospacing="0"/>
              <w:rPr>
                <w:rFonts w:ascii="Times New Roman" w:hAnsi="Times New Roman" w:cs="Times New Roman"/>
                <w:sz w:val="20"/>
                <w:szCs w:val="20"/>
              </w:rPr>
            </w:pPr>
            <w:hyperlink r:id="rId8" w:history="1">
              <w:proofErr w:type="gramStart"/>
              <w:r>
                <w:rPr>
                  <w:rStyle w:val="Hyperlink"/>
                  <w:sz w:val="24"/>
                  <w:szCs w:val="24"/>
                  <w:lang w:eastAsia="en-US"/>
                </w:rPr>
                <w:t>South West</w:t>
              </w:r>
              <w:proofErr w:type="gramEnd"/>
              <w:r>
                <w:rPr>
                  <w:rStyle w:val="Hyperlink"/>
                  <w:sz w:val="24"/>
                  <w:szCs w:val="24"/>
                  <w:lang w:eastAsia="en-US"/>
                </w:rPr>
                <w:t xml:space="preserve"> Primary Care Hub (SW GPTP) - </w:t>
              </w:r>
              <w:proofErr w:type="spellStart"/>
              <w:r>
                <w:rPr>
                  <w:rStyle w:val="Hyperlink"/>
                  <w:sz w:val="24"/>
                  <w:szCs w:val="24"/>
                  <w:lang w:eastAsia="en-US"/>
                </w:rPr>
                <w:t>FutureNHS</w:t>
              </w:r>
              <w:proofErr w:type="spellEnd"/>
              <w:r>
                <w:rPr>
                  <w:rStyle w:val="Hyperlink"/>
                  <w:sz w:val="24"/>
                  <w:szCs w:val="24"/>
                  <w:lang w:eastAsia="en-US"/>
                </w:rPr>
                <w:t xml:space="preserve"> Collaboration Platform</w:t>
              </w:r>
            </w:hyperlink>
          </w:p>
          <w:p w14:paraId="029B2D54" w14:textId="77777777" w:rsidR="00A77707" w:rsidRDefault="00A77707">
            <w:pPr>
              <w:pStyle w:val="NormalWeb"/>
              <w:spacing w:before="0" w:beforeAutospacing="0" w:after="0" w:afterAutospacing="0"/>
              <w:rPr>
                <w:rFonts w:ascii="Times New Roman" w:hAnsi="Times New Roman" w:cs="Times New Roman"/>
                <w:sz w:val="24"/>
                <w:szCs w:val="24"/>
                <w:lang w:eastAsia="en-US"/>
              </w:rPr>
            </w:pPr>
          </w:p>
          <w:p w14:paraId="1626B175" w14:textId="77777777" w:rsidR="00A77707" w:rsidRDefault="00A77707">
            <w:pPr>
              <w:pStyle w:val="NormalWeb"/>
              <w:spacing w:before="0" w:beforeAutospacing="0" w:after="0" w:afterAutospacing="0"/>
              <w:rPr>
                <w:sz w:val="24"/>
                <w:szCs w:val="24"/>
                <w:lang w:eastAsia="en-US"/>
              </w:rPr>
            </w:pPr>
            <w:r>
              <w:rPr>
                <w:sz w:val="24"/>
                <w:szCs w:val="24"/>
                <w:lang w:eastAsia="en-US"/>
              </w:rPr>
              <w:t>Recent additions under useful resources, include information on UCR (Urgent Community Response) which is being rolled out across all systems and is additional service in your locality to support patients.</w:t>
            </w:r>
          </w:p>
          <w:p w14:paraId="657282FC" w14:textId="77777777" w:rsidR="00A77707" w:rsidRDefault="00A77707">
            <w:pPr>
              <w:pStyle w:val="NormalWeb"/>
              <w:spacing w:before="0" w:beforeAutospacing="0" w:after="0" w:afterAutospacing="0"/>
              <w:rPr>
                <w:sz w:val="24"/>
                <w:szCs w:val="24"/>
                <w:lang w:eastAsia="en-US"/>
              </w:rPr>
            </w:pPr>
            <w:r>
              <w:rPr>
                <w:sz w:val="24"/>
                <w:szCs w:val="24"/>
                <w:lang w:eastAsia="en-US"/>
              </w:rPr>
              <w:t> </w:t>
            </w:r>
          </w:p>
          <w:p w14:paraId="7517F834" w14:textId="77777777" w:rsidR="00A77707" w:rsidRDefault="00A77707">
            <w:pPr>
              <w:pStyle w:val="NormalWeb"/>
              <w:spacing w:before="0" w:beforeAutospacing="0" w:after="0" w:afterAutospacing="0"/>
              <w:rPr>
                <w:sz w:val="24"/>
                <w:szCs w:val="24"/>
                <w:lang w:eastAsia="en-US"/>
              </w:rPr>
            </w:pPr>
            <w:r>
              <w:rPr>
                <w:sz w:val="24"/>
                <w:szCs w:val="24"/>
                <w:lang w:eastAsia="en-US"/>
              </w:rPr>
              <w:t xml:space="preserve">If you have any suggestions on how we can improve our new Futures page let us know by emailing </w:t>
            </w:r>
            <w:hyperlink r:id="rId9" w:history="1">
              <w:r>
                <w:rPr>
                  <w:rStyle w:val="Hyperlink"/>
                  <w:sz w:val="24"/>
                  <w:szCs w:val="24"/>
                  <w:lang w:eastAsia="en-US"/>
                </w:rPr>
                <w:t>england.swgptp@nhs.net</w:t>
              </w:r>
            </w:hyperlink>
          </w:p>
          <w:p w14:paraId="3399C9FE" w14:textId="77777777" w:rsidR="00A77707" w:rsidRDefault="00A77707">
            <w:pPr>
              <w:rPr>
                <w:rStyle w:val="normal0"/>
                <w:bdr w:val="none" w:sz="0" w:space="0" w:color="auto" w:frame="1"/>
                <w:lang w:eastAsia="en-GB"/>
              </w:rPr>
            </w:pPr>
          </w:p>
          <w:p w14:paraId="2DE6ECB7" w14:textId="77777777" w:rsidR="00A77707" w:rsidRDefault="00A77707"/>
        </w:tc>
      </w:tr>
    </w:tbl>
    <w:p w14:paraId="0D847725" w14:textId="77777777" w:rsidR="00A77707" w:rsidRDefault="00A77707" w:rsidP="00A77707">
      <w:pPr>
        <w:pStyle w:val="wordsection1"/>
        <w:rPr>
          <w:sz w:val="20"/>
          <w:szCs w:val="20"/>
          <w:lang w:eastAsia="en-GB"/>
        </w:rPr>
      </w:pPr>
    </w:p>
    <w:p w14:paraId="533DB626" w14:textId="77777777" w:rsidR="00A77707" w:rsidRDefault="00A77707"/>
    <w:sectPr w:rsidR="00A77707" w:rsidSect="00A777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07"/>
    <w:rsid w:val="00A7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C07756"/>
  <w15:chartTrackingRefBased/>
  <w15:docId w15:val="{598E1D2D-AF69-4B4B-9E0E-709F9B01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A77707"/>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77707"/>
    <w:rPr>
      <w:rFonts w:ascii="Calibri" w:hAnsi="Calibri" w:cs="Calibri"/>
      <w:b/>
      <w:bCs/>
      <w:sz w:val="36"/>
      <w:szCs w:val="36"/>
      <w:lang w:eastAsia="en-GB"/>
    </w:rPr>
  </w:style>
  <w:style w:type="character" w:styleId="Hyperlink">
    <w:name w:val="Hyperlink"/>
    <w:basedOn w:val="DefaultParagraphFont"/>
    <w:uiPriority w:val="99"/>
    <w:semiHidden/>
    <w:unhideWhenUsed/>
    <w:rsid w:val="00A77707"/>
    <w:rPr>
      <w:color w:val="0563C1"/>
      <w:u w:val="single"/>
    </w:rPr>
  </w:style>
  <w:style w:type="paragraph" w:styleId="NormalWeb">
    <w:name w:val="Normal (Web)"/>
    <w:basedOn w:val="Normal"/>
    <w:uiPriority w:val="99"/>
    <w:semiHidden/>
    <w:unhideWhenUsed/>
    <w:rsid w:val="00A77707"/>
    <w:pPr>
      <w:spacing w:before="100" w:beforeAutospacing="1" w:after="100" w:afterAutospacing="1" w:line="240" w:lineRule="auto"/>
    </w:pPr>
    <w:rPr>
      <w:rFonts w:ascii="Calibri" w:hAnsi="Calibri" w:cs="Calibri"/>
      <w:lang w:eastAsia="en-GB"/>
    </w:rPr>
  </w:style>
  <w:style w:type="character" w:customStyle="1" w:styleId="wordsection1Char">
    <w:name w:val="wordsection1 Char"/>
    <w:basedOn w:val="DefaultParagraphFont"/>
    <w:link w:val="wordsection1"/>
    <w:uiPriority w:val="99"/>
    <w:semiHidden/>
    <w:locked/>
    <w:rsid w:val="00A77707"/>
    <w:rPr>
      <w:rFonts w:ascii="Calibri" w:hAnsi="Calibri" w:cs="Calibri"/>
    </w:rPr>
  </w:style>
  <w:style w:type="paragraph" w:customStyle="1" w:styleId="wordsection1">
    <w:name w:val="wordsection1"/>
    <w:basedOn w:val="Normal"/>
    <w:link w:val="wordsection1Char"/>
    <w:uiPriority w:val="99"/>
    <w:semiHidden/>
    <w:rsid w:val="00A77707"/>
    <w:pPr>
      <w:spacing w:after="0" w:line="240" w:lineRule="auto"/>
    </w:pPr>
    <w:rPr>
      <w:rFonts w:ascii="Calibri" w:hAnsi="Calibri" w:cs="Calibri"/>
    </w:rPr>
  </w:style>
  <w:style w:type="paragraph" w:customStyle="1" w:styleId="xxmsonormal">
    <w:name w:val="xxmsonormal"/>
    <w:basedOn w:val="Normal"/>
    <w:uiPriority w:val="99"/>
    <w:semiHidden/>
    <w:rsid w:val="00A77707"/>
    <w:pPr>
      <w:spacing w:after="0" w:line="240" w:lineRule="auto"/>
    </w:pPr>
    <w:rPr>
      <w:rFonts w:ascii="Calibri" w:hAnsi="Calibri" w:cs="Calibri"/>
      <w:lang w:eastAsia="en-GB"/>
    </w:rPr>
  </w:style>
  <w:style w:type="character" w:customStyle="1" w:styleId="normal0">
    <w:name w:val="normal"/>
    <w:basedOn w:val="DefaultParagraphFont"/>
    <w:rsid w:val="00A7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6625">
      <w:bodyDiv w:val="1"/>
      <w:marLeft w:val="0"/>
      <w:marRight w:val="0"/>
      <w:marTop w:val="0"/>
      <w:marBottom w:val="0"/>
      <w:divBdr>
        <w:top w:val="none" w:sz="0" w:space="0" w:color="auto"/>
        <w:left w:val="none" w:sz="0" w:space="0" w:color="auto"/>
        <w:bottom w:val="none" w:sz="0" w:space="0" w:color="auto"/>
        <w:right w:val="none" w:sz="0" w:space="0" w:color="auto"/>
      </w:divBdr>
    </w:div>
    <w:div w:id="9700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future.nhs.uk%2Fconnect.ti%2FSouthWestGPTransformation%2Fgrouphome&amp;data=05%7C01%7Cglicb.primarycare%40nhs.net%7Cc9bcf1c9b74246c37b4108dae1d9dd2b%7C37c354b285b047f5b22207b48d774ee3%7C0%7C0%7C638070623134210632%7CUnknown%7CTWFpbGZsb3d8eyJWIjoiMC4wLjAwMDAiLCJQIjoiV2luMzIiLCJBTiI6Ik1haWwiLCJXVCI6Mn0%3D%7C3000%7C%7C%7C&amp;sdata=6gqz5w2htugPMaLeTgOLsKZeOcH%2B%2BINL6pEfV%2FjbgxU%3D&amp;reserved=0" TargetMode="External"/><Relationship Id="rId3" Type="http://schemas.openxmlformats.org/officeDocument/2006/relationships/webSettings" Target="webSettings.xml"/><Relationship Id="rId7" Type="http://schemas.openxmlformats.org/officeDocument/2006/relationships/hyperlink" Target="https://gbr01.safelinks.protection.outlook.com/?url=https%3A%2F%2Fwww.england.nhs.uk%2Flong-read%2Fgoing-further-on-winter-resilience-plans%2F&amp;data=05%7C01%7Cglicb.primarycare%40nhs.net%7Cc9bcf1c9b74246c37b4108dae1d9dd2b%7C37c354b285b047f5b22207b48d774ee3%7C0%7C0%7C638070623134210632%7CUnknown%7CTWFpbGZsb3d8eyJWIjoiMC4wLjAwMDAiLCJQIjoiV2luMzIiLCJBTiI6Ik1haWwiLCJXVCI6Mn0%3D%7C3000%7C%7C%7C&amp;sdata=8BlUskHcEok%2F0dsPPOKjREfd98%2FXWzmknPLTtgDOsi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jointheconversation.scwcsu.nhs.uk%2Fprimary-care-development-and-support-programme&amp;data=05%7C01%7Cglicb.primarycare%40nhs.net%7Cc9bcf1c9b74246c37b4108dae1d9dd2b%7C37c354b285b047f5b22207b48d774ee3%7C0%7C0%7C638070623134210632%7CUnknown%7CTWFpbGZsb3d8eyJWIjoiMC4wLjAwMDAiLCJQIjoiV2luMzIiLCJBTiI6Ik1haWwiLCJXVCI6Mn0%3D%7C3000%7C%7C%7C&amp;sdata=WH2lUpN%2FnHnt3BfWf%2BcigSwONwzsx54QDwNB1ZvmO9c%3D&amp;reserved=0" TargetMode="External"/><Relationship Id="rId11" Type="http://schemas.openxmlformats.org/officeDocument/2006/relationships/theme" Target="theme/theme1.xml"/><Relationship Id="rId5" Type="http://schemas.openxmlformats.org/officeDocument/2006/relationships/hyperlink" Target="mailto:england.swgptp@nhs.net"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mailto:england.swgpt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3460</Characters>
  <Application>Microsoft Office Word</Application>
  <DocSecurity>0</DocSecurity>
  <Lines>28</Lines>
  <Paragraphs>8</Paragraphs>
  <ScaleCrop>false</ScaleCrop>
  <Company>GLOUCESTERSHIRE HOSPITALS NHS FOUNDATION TRUST</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WOOLCOMB, Antony (NHS GLOUCESTERSHIRE ICB - 11M)</dc:creator>
  <cp:keywords/>
  <dc:description/>
  <cp:lastModifiedBy>WOOLCOMB, Antony (NHS GLOUCESTERSHIRE ICB - 11M)</cp:lastModifiedBy>
  <cp:revision>1</cp:revision>
  <dcterms:created xsi:type="dcterms:W3CDTF">2022-12-19T16:08:00Z</dcterms:created>
  <dcterms:modified xsi:type="dcterms:W3CDTF">2022-12-19T16:10:00Z</dcterms:modified>
</cp:coreProperties>
</file>