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925562"/>
    <w:p w14:paraId="074B3C23" w14:textId="3434A582" w:rsidR="00787635" w:rsidRDefault="000A431D" w:rsidP="000A431D">
      <w:pPr>
        <w:keepNext/>
        <w:spacing w:before="240" w:after="0" w:line="240" w:lineRule="auto"/>
        <w:ind w:left="221"/>
        <w:rPr>
          <w:rFonts w:ascii="Arial" w:eastAsia="Times New Roman" w:hAnsi="Arial" w:cs="Arial"/>
          <w:b/>
          <w:bCs/>
          <w:sz w:val="28"/>
          <w:szCs w:val="28"/>
        </w:rPr>
      </w:pPr>
      <w:r w:rsidRPr="000A431D">
        <w:rPr>
          <w:rFonts w:ascii="Arial" w:eastAsia="Times New Roman" w:hAnsi="Arial" w:cs="Arial"/>
          <w:b/>
          <w:bCs/>
          <w:noProof/>
          <w:sz w:val="28"/>
          <w:szCs w:val="28"/>
        </w:rPr>
        <mc:AlternateContent>
          <mc:Choice Requires="wps">
            <w:drawing>
              <wp:anchor distT="45720" distB="45720" distL="114300" distR="114300" simplePos="0" relativeHeight="251661312" behindDoc="0" locked="0" layoutInCell="1" allowOverlap="1" wp14:anchorId="62BE2D43" wp14:editId="2EE9EF48">
                <wp:simplePos x="0" y="0"/>
                <wp:positionH relativeFrom="column">
                  <wp:posOffset>428625</wp:posOffset>
                </wp:positionH>
                <wp:positionV relativeFrom="paragraph">
                  <wp:posOffset>152400</wp:posOffset>
                </wp:positionV>
                <wp:extent cx="43053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19150"/>
                        </a:xfrm>
                        <a:prstGeom prst="rect">
                          <a:avLst/>
                        </a:prstGeom>
                        <a:solidFill>
                          <a:srgbClr val="FFFFFF"/>
                        </a:solidFill>
                        <a:ln w="9525">
                          <a:solidFill>
                            <a:srgbClr val="000000"/>
                          </a:solidFill>
                          <a:miter lim="800000"/>
                          <a:headEnd/>
                          <a:tailEnd/>
                        </a:ln>
                      </wps:spPr>
                      <wps:txb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E2D43" id="_x0000_t202" coordsize="21600,21600" o:spt="202" path="m,l,21600r21600,l21600,xe">
                <v:stroke joinstyle="miter"/>
                <v:path gradientshapeok="t" o:connecttype="rect"/>
              </v:shapetype>
              <v:shape id="Text Box 2" o:spid="_x0000_s1026" type="#_x0000_t202" style="position:absolute;left:0;text-align:left;margin-left:33.75pt;margin-top:12pt;width:339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">
                <v:textbox>
                  <w:txbxContent>
                    <w:p w14:paraId="61D49A69" w14:textId="4E680490" w:rsidR="000A431D" w:rsidRPr="00DD78D3" w:rsidRDefault="000A431D" w:rsidP="000A431D">
                      <w:pPr>
                        <w:spacing w:after="0" w:line="240" w:lineRule="auto"/>
                        <w:rPr>
                          <w:rFonts w:ascii="Arial" w:hAnsi="Arial" w:cs="Arial"/>
                        </w:rPr>
                      </w:pPr>
                      <w:r w:rsidRPr="00DD78D3">
                        <w:rPr>
                          <w:rFonts w:ascii="Arial" w:hAnsi="Arial" w:cs="Arial"/>
                        </w:rPr>
                        <w:t>This patient group direction (PGD) must only be used by registered health professionals who have been named and authorised by their organisation to practice under it. The most recent and in date final signed version of the PGD should be used.</w:t>
                      </w:r>
                    </w:p>
                  </w:txbxContent>
                </v:textbox>
                <w10:wrap type="square"/>
              </v:shape>
            </w:pict>
          </mc:Fallback>
        </mc:AlternateContent>
      </w:r>
    </w:p>
    <w:p w14:paraId="6DF38ABA" w14:textId="77777777" w:rsidR="000A431D" w:rsidRDefault="000A431D" w:rsidP="00744C6B">
      <w:pPr>
        <w:keepNext/>
        <w:spacing w:before="240" w:after="0" w:line="240" w:lineRule="auto"/>
        <w:ind w:left="221"/>
        <w:rPr>
          <w:rFonts w:ascii="Arial" w:eastAsia="Times New Roman" w:hAnsi="Arial" w:cs="Arial"/>
          <w:b/>
          <w:bCs/>
          <w:sz w:val="28"/>
          <w:szCs w:val="28"/>
        </w:rPr>
      </w:pPr>
    </w:p>
    <w:p w14:paraId="21847743" w14:textId="77777777" w:rsidR="000A431D" w:rsidRDefault="000A431D" w:rsidP="00744C6B">
      <w:pPr>
        <w:keepNext/>
        <w:spacing w:before="240" w:after="0" w:line="240" w:lineRule="auto"/>
        <w:ind w:left="221"/>
        <w:rPr>
          <w:rFonts w:ascii="Arial" w:eastAsia="Times New Roman" w:hAnsi="Arial" w:cs="Arial"/>
          <w:b/>
          <w:bCs/>
          <w:sz w:val="28"/>
          <w:szCs w:val="28"/>
        </w:rPr>
      </w:pPr>
    </w:p>
    <w:p w14:paraId="31E5DB27" w14:textId="4F0227EF" w:rsidR="001F1360" w:rsidRPr="00744C6B" w:rsidRDefault="00243E21" w:rsidP="00744C6B">
      <w:pPr>
        <w:keepNext/>
        <w:spacing w:before="240" w:after="0" w:line="240" w:lineRule="auto"/>
        <w:ind w:left="221"/>
        <w:rPr>
          <w:rFonts w:ascii="Arial" w:eastAsia="Times New Roman" w:hAnsi="Arial" w:cs="Arial"/>
          <w:b/>
          <w:bCs/>
          <w:sz w:val="28"/>
          <w:szCs w:val="28"/>
        </w:rPr>
      </w:pPr>
      <w:r w:rsidRPr="00744C6B">
        <w:rPr>
          <w:rFonts w:ascii="Arial" w:eastAsia="Times New Roman" w:hAnsi="Arial" w:cs="Arial"/>
          <w:b/>
          <w:bCs/>
          <w:sz w:val="28"/>
          <w:szCs w:val="28"/>
        </w:rPr>
        <w:t xml:space="preserve">Patient Group Direction </w:t>
      </w:r>
      <w:r w:rsidR="00230A2F">
        <w:rPr>
          <w:rFonts w:ascii="Arial" w:eastAsia="Times New Roman" w:hAnsi="Arial" w:cs="Arial"/>
          <w:b/>
          <w:bCs/>
          <w:sz w:val="28"/>
          <w:szCs w:val="28"/>
        </w:rPr>
        <w:t xml:space="preserve">(PGD) </w:t>
      </w:r>
      <w:r w:rsidRPr="00744C6B">
        <w:rPr>
          <w:rFonts w:ascii="Arial" w:eastAsia="Times New Roman" w:hAnsi="Arial" w:cs="Arial"/>
          <w:b/>
          <w:bCs/>
          <w:sz w:val="28"/>
          <w:szCs w:val="28"/>
        </w:rPr>
        <w:t>for</w:t>
      </w:r>
      <w:r w:rsidR="00744C6B" w:rsidRPr="00744C6B">
        <w:rPr>
          <w:rFonts w:ascii="Arial" w:eastAsia="Times New Roman" w:hAnsi="Arial" w:cs="Arial"/>
          <w:b/>
          <w:bCs/>
          <w:sz w:val="28"/>
          <w:szCs w:val="28"/>
        </w:rPr>
        <w:t xml:space="preserve"> </w:t>
      </w:r>
      <w:r w:rsidR="001F1360" w:rsidRPr="00744C6B">
        <w:rPr>
          <w:rFonts w:ascii="Arial" w:eastAsia="Times New Roman" w:hAnsi="Arial" w:cs="Arial"/>
          <w:b/>
          <w:bCs/>
          <w:sz w:val="28"/>
          <w:szCs w:val="28"/>
        </w:rPr>
        <w:t>Administration of</w:t>
      </w:r>
    </w:p>
    <w:bookmarkEnd w:id="0"/>
    <w:p w14:paraId="7B38293C" w14:textId="77777777" w:rsidR="00243E21" w:rsidRPr="00F41D3F" w:rsidRDefault="001F1360" w:rsidP="00243E21">
      <w:pPr>
        <w:keepNext/>
        <w:spacing w:before="240" w:after="0" w:line="240" w:lineRule="auto"/>
        <w:ind w:left="221"/>
        <w:jc w:val="center"/>
        <w:rPr>
          <w:rFonts w:ascii="Arial" w:eastAsia="Times New Roman" w:hAnsi="Arial" w:cs="Arial"/>
          <w:b/>
          <w:bCs/>
          <w:sz w:val="32"/>
          <w:szCs w:val="32"/>
        </w:rPr>
      </w:pPr>
      <w:r>
        <w:rPr>
          <w:rFonts w:ascii="Arial" w:eastAsia="Times New Roman" w:hAnsi="Arial" w:cs="Arial"/>
          <w:b/>
          <w:bCs/>
          <w:noProof/>
          <w:sz w:val="30"/>
          <w:szCs w:val="30"/>
          <w:lang w:eastAsia="en-GB"/>
        </w:rPr>
        <mc:AlternateContent>
          <mc:Choice Requires="wps">
            <w:drawing>
              <wp:anchor distT="0" distB="0" distL="114300" distR="114300" simplePos="0" relativeHeight="251659264" behindDoc="0" locked="0" layoutInCell="1" allowOverlap="1" wp14:anchorId="38E75240" wp14:editId="38E3B97F">
                <wp:simplePos x="0" y="0"/>
                <wp:positionH relativeFrom="column">
                  <wp:posOffset>84147</wp:posOffset>
                </wp:positionH>
                <wp:positionV relativeFrom="paragraph">
                  <wp:posOffset>19852</wp:posOffset>
                </wp:positionV>
                <wp:extent cx="5467350" cy="2013923"/>
                <wp:effectExtent l="0" t="0" r="1905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2013923"/>
                        </a:xfrm>
                        <a:prstGeom prst="rect">
                          <a:avLst/>
                        </a:prstGeom>
                        <a:solidFill>
                          <a:srgbClr val="FFFFFF"/>
                        </a:solidFill>
                        <a:ln w="9525">
                          <a:solidFill>
                            <a:srgbClr val="000000"/>
                          </a:solidFill>
                          <a:miter lim="800000"/>
                          <a:headEnd/>
                          <a:tailEnd/>
                        </a:ln>
                      </wps:spPr>
                      <wps:txb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6AC4A41F"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DC63B5">
                              <w:rPr>
                                <w:rFonts w:ascii="Arial" w:hAnsi="Arial" w:cs="Arial"/>
                                <w:color w:val="000000" w:themeColor="text1"/>
                                <w:sz w:val="28"/>
                                <w:szCs w:val="28"/>
                              </w:rPr>
                              <w:t>Neomycin/dexamethasone/acetic acid ear spray (</w:t>
                            </w:r>
                            <w:r w:rsidR="00985EC5">
                              <w:rPr>
                                <w:rFonts w:ascii="Arial" w:hAnsi="Arial" w:cs="Arial"/>
                                <w:color w:val="000000" w:themeColor="text1"/>
                                <w:sz w:val="28"/>
                                <w:szCs w:val="28"/>
                              </w:rPr>
                              <w:t xml:space="preserve">formerly known as </w:t>
                            </w:r>
                            <w:proofErr w:type="spellStart"/>
                            <w:r w:rsidR="00DC63B5">
                              <w:rPr>
                                <w:rFonts w:ascii="Arial" w:hAnsi="Arial" w:cs="Arial"/>
                                <w:color w:val="000000" w:themeColor="text1"/>
                                <w:sz w:val="28"/>
                                <w:szCs w:val="28"/>
                              </w:rPr>
                              <w:t>Otomize</w:t>
                            </w:r>
                            <w:proofErr w:type="spellEnd"/>
                            <w:r w:rsidR="00DC63B5" w:rsidRPr="00DC63B5">
                              <w:rPr>
                                <w:rFonts w:ascii="Arial" w:hAnsi="Arial" w:cs="Arial"/>
                                <w:color w:val="000000" w:themeColor="text1"/>
                                <w:sz w:val="28"/>
                                <w:szCs w:val="28"/>
                                <w:vertAlign w:val="superscript"/>
                              </w:rPr>
                              <w:t>®</w:t>
                            </w:r>
                            <w:r w:rsidR="00DC63B5">
                              <w:rPr>
                                <w:rFonts w:ascii="Arial" w:hAnsi="Arial" w:cs="Arial"/>
                                <w:color w:val="000000" w:themeColor="text1"/>
                                <w:sz w:val="28"/>
                                <w:szCs w:val="28"/>
                              </w:rPr>
                              <w:t>) for moderate/severe acute Otitis Externa</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75240" id="_x0000_t202" coordsize="21600,21600" o:spt="202" path="m,l,21600r21600,l21600,xe">
                <v:stroke joinstyle="miter"/>
                <v:path gradientshapeok="t" o:connecttype="rect"/>
              </v:shapetype>
              <v:shape id="Text Box 5" o:spid="_x0000_s1027" type="#_x0000_t202" style="position:absolute;left:0;text-align:left;margin-left:6.65pt;margin-top:1.55pt;width:430.5pt;height:1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">
                <v:textbox>
                  <w:txbxContent>
                    <w:p w14:paraId="098F752D" w14:textId="77777777" w:rsidR="001E22E5" w:rsidRDefault="001E22E5" w:rsidP="00744C6B">
                      <w:pPr>
                        <w:spacing w:after="0" w:line="240" w:lineRule="auto"/>
                        <w:rPr>
                          <w:rFonts w:ascii="Arial" w:hAnsi="Arial" w:cs="Arial"/>
                          <w:b/>
                          <w:bCs/>
                          <w:sz w:val="28"/>
                          <w:szCs w:val="28"/>
                        </w:rPr>
                      </w:pPr>
                    </w:p>
                    <w:p w14:paraId="1E5B1BB5" w14:textId="3219F064" w:rsidR="001E22E5" w:rsidRDefault="009331D5" w:rsidP="009331D5">
                      <w:pPr>
                        <w:spacing w:after="0" w:line="240" w:lineRule="auto"/>
                        <w:jc w:val="center"/>
                        <w:rPr>
                          <w:rFonts w:ascii="Arial" w:hAnsi="Arial" w:cs="Arial"/>
                          <w:b/>
                          <w:bCs/>
                          <w:sz w:val="28"/>
                          <w:szCs w:val="28"/>
                        </w:rPr>
                      </w:pPr>
                      <w:r>
                        <w:rPr>
                          <w:rFonts w:ascii="Arial" w:hAnsi="Arial" w:cs="Arial"/>
                          <w:b/>
                          <w:bCs/>
                          <w:sz w:val="28"/>
                          <w:szCs w:val="28"/>
                        </w:rPr>
                        <w:t xml:space="preserve">Drug </w:t>
                      </w:r>
                      <w:r w:rsidR="00D8652F">
                        <w:rPr>
                          <w:rFonts w:ascii="Arial" w:hAnsi="Arial" w:cs="Arial"/>
                          <w:b/>
                          <w:bCs/>
                          <w:sz w:val="28"/>
                          <w:szCs w:val="28"/>
                        </w:rPr>
                        <w:t>-</w:t>
                      </w:r>
                    </w:p>
                    <w:p w14:paraId="6175BE8C" w14:textId="6AC4A41F" w:rsidR="00BA779D" w:rsidRPr="009331D5" w:rsidRDefault="009331D5" w:rsidP="009331D5">
                      <w:pPr>
                        <w:spacing w:after="0" w:line="240" w:lineRule="auto"/>
                        <w:jc w:val="center"/>
                        <w:rPr>
                          <w:rFonts w:ascii="Arial" w:hAnsi="Arial" w:cs="Arial"/>
                          <w:sz w:val="28"/>
                          <w:szCs w:val="28"/>
                        </w:rPr>
                      </w:pPr>
                      <w:r>
                        <w:rPr>
                          <w:rFonts w:ascii="Arial" w:hAnsi="Arial" w:cs="Arial"/>
                          <w:sz w:val="28"/>
                          <w:szCs w:val="28"/>
                        </w:rPr>
                        <w:t>F</w:t>
                      </w:r>
                      <w:r w:rsidRPr="009331D5">
                        <w:rPr>
                          <w:rFonts w:ascii="Arial" w:hAnsi="Arial" w:cs="Arial"/>
                          <w:sz w:val="28"/>
                          <w:szCs w:val="28"/>
                        </w:rPr>
                        <w:t>or</w:t>
                      </w:r>
                      <w:r>
                        <w:rPr>
                          <w:rFonts w:ascii="Arial" w:hAnsi="Arial" w:cs="Arial"/>
                          <w:sz w:val="28"/>
                          <w:szCs w:val="28"/>
                        </w:rPr>
                        <w:t xml:space="preserve"> </w:t>
                      </w:r>
                      <w:r w:rsidR="00E162B7" w:rsidRPr="00A346B5">
                        <w:rPr>
                          <w:rFonts w:ascii="Arial" w:hAnsi="Arial" w:cs="Arial"/>
                          <w:color w:val="000000" w:themeColor="text1"/>
                          <w:sz w:val="28"/>
                          <w:szCs w:val="28"/>
                        </w:rPr>
                        <w:t xml:space="preserve">Supply/administration of </w:t>
                      </w:r>
                      <w:r w:rsidR="00DC63B5">
                        <w:rPr>
                          <w:rFonts w:ascii="Arial" w:hAnsi="Arial" w:cs="Arial"/>
                          <w:color w:val="000000" w:themeColor="text1"/>
                          <w:sz w:val="28"/>
                          <w:szCs w:val="28"/>
                        </w:rPr>
                        <w:t>Neomycin/dexamethasone/acetic acid ear spray (</w:t>
                      </w:r>
                      <w:r w:rsidR="00985EC5">
                        <w:rPr>
                          <w:rFonts w:ascii="Arial" w:hAnsi="Arial" w:cs="Arial"/>
                          <w:color w:val="000000" w:themeColor="text1"/>
                          <w:sz w:val="28"/>
                          <w:szCs w:val="28"/>
                        </w:rPr>
                        <w:t xml:space="preserve">formerly known as </w:t>
                      </w:r>
                      <w:proofErr w:type="spellStart"/>
                      <w:r w:rsidR="00DC63B5">
                        <w:rPr>
                          <w:rFonts w:ascii="Arial" w:hAnsi="Arial" w:cs="Arial"/>
                          <w:color w:val="000000" w:themeColor="text1"/>
                          <w:sz w:val="28"/>
                          <w:szCs w:val="28"/>
                        </w:rPr>
                        <w:t>Otomize</w:t>
                      </w:r>
                      <w:proofErr w:type="spellEnd"/>
                      <w:r w:rsidR="00DC63B5" w:rsidRPr="00DC63B5">
                        <w:rPr>
                          <w:rFonts w:ascii="Arial" w:hAnsi="Arial" w:cs="Arial"/>
                          <w:color w:val="000000" w:themeColor="text1"/>
                          <w:sz w:val="28"/>
                          <w:szCs w:val="28"/>
                          <w:vertAlign w:val="superscript"/>
                        </w:rPr>
                        <w:t>®</w:t>
                      </w:r>
                      <w:r w:rsidR="00DC63B5">
                        <w:rPr>
                          <w:rFonts w:ascii="Arial" w:hAnsi="Arial" w:cs="Arial"/>
                          <w:color w:val="000000" w:themeColor="text1"/>
                          <w:sz w:val="28"/>
                          <w:szCs w:val="28"/>
                        </w:rPr>
                        <w:t>) for moderate/severe acute Otitis Externa</w:t>
                      </w:r>
                    </w:p>
                    <w:p w14:paraId="313A2FD9" w14:textId="77777777" w:rsidR="00BA779D" w:rsidRDefault="00BA779D" w:rsidP="00FE4ED3">
                      <w:pPr>
                        <w:spacing w:after="0" w:line="240" w:lineRule="auto"/>
                        <w:rPr>
                          <w:rFonts w:ascii="Arial" w:hAnsi="Arial" w:cs="Arial"/>
                          <w:b/>
                          <w:bCs/>
                          <w:sz w:val="24"/>
                          <w:szCs w:val="24"/>
                        </w:rPr>
                      </w:pPr>
                    </w:p>
                    <w:p w14:paraId="2403AE93" w14:textId="7D1BDEAB" w:rsidR="001E22E5" w:rsidRPr="00744C6B" w:rsidRDefault="001E22E5" w:rsidP="00E162B7">
                      <w:pPr>
                        <w:spacing w:after="0" w:line="240" w:lineRule="auto"/>
                        <w:jc w:val="center"/>
                        <w:rPr>
                          <w:rFonts w:ascii="Arial" w:hAnsi="Arial" w:cs="Arial"/>
                          <w:b/>
                          <w:bCs/>
                          <w:sz w:val="24"/>
                          <w:szCs w:val="24"/>
                        </w:rPr>
                      </w:pPr>
                      <w:r w:rsidRPr="00744C6B">
                        <w:rPr>
                          <w:rFonts w:ascii="Arial" w:hAnsi="Arial" w:cs="Arial"/>
                          <w:b/>
                          <w:bCs/>
                          <w:sz w:val="24"/>
                          <w:szCs w:val="24"/>
                        </w:rPr>
                        <w:t>For use within/by:</w:t>
                      </w:r>
                    </w:p>
                    <w:p w14:paraId="633BDF8D" w14:textId="3AA82B80" w:rsidR="001E22E5" w:rsidRPr="00A346B5" w:rsidRDefault="00E162B7" w:rsidP="00E162B7">
                      <w:pPr>
                        <w:spacing w:after="0" w:line="240" w:lineRule="auto"/>
                        <w:jc w:val="center"/>
                        <w:rPr>
                          <w:rFonts w:ascii="Arial" w:hAnsi="Arial" w:cs="Arial"/>
                          <w:b/>
                          <w:bCs/>
                          <w:color w:val="000000" w:themeColor="text1"/>
                          <w:sz w:val="28"/>
                          <w:szCs w:val="28"/>
                        </w:rPr>
                      </w:pPr>
                      <w:r w:rsidRPr="00A346B5">
                        <w:rPr>
                          <w:rFonts w:ascii="Arial" w:hAnsi="Arial" w:cs="Arial"/>
                          <w:b/>
                          <w:bCs/>
                          <w:color w:val="000000" w:themeColor="text1"/>
                          <w:sz w:val="24"/>
                          <w:szCs w:val="24"/>
                        </w:rPr>
                        <w:t>Gloucestershire Community Pharmacies</w:t>
                      </w:r>
                    </w:p>
                    <w:p w14:paraId="6CE8D109" w14:textId="77777777" w:rsidR="00E162B7" w:rsidRDefault="00E162B7" w:rsidP="000B7C18">
                      <w:pPr>
                        <w:spacing w:after="0" w:line="240" w:lineRule="auto"/>
                        <w:jc w:val="center"/>
                        <w:rPr>
                          <w:rFonts w:ascii="Arial" w:hAnsi="Arial" w:cs="Arial"/>
                          <w:color w:val="000000" w:themeColor="text1"/>
                          <w:sz w:val="24"/>
                          <w:szCs w:val="24"/>
                        </w:rPr>
                      </w:pPr>
                    </w:p>
                    <w:p w14:paraId="2AD86021" w14:textId="0E9E6080" w:rsidR="000B7C18" w:rsidRPr="00275F8A" w:rsidRDefault="000B7C18" w:rsidP="000B7C18">
                      <w:pPr>
                        <w:spacing w:after="0" w:line="240" w:lineRule="auto"/>
                        <w:jc w:val="center"/>
                        <w:rPr>
                          <w:rFonts w:ascii="Arial" w:hAnsi="Arial" w:cs="Arial"/>
                          <w:color w:val="000000" w:themeColor="text1"/>
                          <w:sz w:val="24"/>
                          <w:szCs w:val="24"/>
                        </w:rPr>
                      </w:pPr>
                      <w:r w:rsidRPr="00275F8A">
                        <w:rPr>
                          <w:rFonts w:ascii="Arial" w:hAnsi="Arial" w:cs="Arial"/>
                          <w:color w:val="000000" w:themeColor="text1"/>
                          <w:sz w:val="24"/>
                          <w:szCs w:val="24"/>
                        </w:rPr>
                        <w:t>Shire Hall, Westgate Street, Gloucester, Gloucestershire, GL1 2TG</w:t>
                      </w:r>
                    </w:p>
                    <w:p w14:paraId="0AFC1957" w14:textId="77777777" w:rsidR="001E22E5" w:rsidRDefault="001E22E5" w:rsidP="00FE4ED3">
                      <w:pPr>
                        <w:spacing w:after="0" w:line="240" w:lineRule="auto"/>
                        <w:rPr>
                          <w:rFonts w:ascii="Arial" w:hAnsi="Arial" w:cs="Arial"/>
                          <w:b/>
                          <w:bCs/>
                          <w:sz w:val="28"/>
                          <w:szCs w:val="28"/>
                        </w:rPr>
                      </w:pPr>
                    </w:p>
                  </w:txbxContent>
                </v:textbox>
              </v:shape>
            </w:pict>
          </mc:Fallback>
        </mc:AlternateContent>
      </w:r>
    </w:p>
    <w:p w14:paraId="3492CF25" w14:textId="77777777" w:rsidR="00243E21" w:rsidRPr="000E5A44" w:rsidRDefault="00243E21" w:rsidP="000E5A44">
      <w:pPr>
        <w:keepNext/>
        <w:spacing w:before="240" w:after="0" w:line="240" w:lineRule="auto"/>
        <w:ind w:left="221"/>
        <w:jc w:val="center"/>
        <w:rPr>
          <w:rFonts w:ascii="Arial" w:eastAsia="Times New Roman" w:hAnsi="Arial" w:cs="Arial"/>
          <w:b/>
          <w:bCs/>
          <w:sz w:val="40"/>
          <w:szCs w:val="40"/>
        </w:rPr>
      </w:pPr>
      <w:r w:rsidRPr="00F41D3F">
        <w:rPr>
          <w:rFonts w:ascii="Arial" w:eastAsia="Times New Roman" w:hAnsi="Arial" w:cs="Arial"/>
          <w:sz w:val="28"/>
          <w:szCs w:val="28"/>
        </w:rPr>
        <w:t xml:space="preserve"> </w:t>
      </w:r>
    </w:p>
    <w:p w14:paraId="7F218B17" w14:textId="77777777" w:rsidR="00243E21" w:rsidRPr="00F41D3F" w:rsidRDefault="00243E21" w:rsidP="00380AB7">
      <w:pPr>
        <w:spacing w:after="0" w:line="240" w:lineRule="auto"/>
        <w:rPr>
          <w:rFonts w:ascii="Arial" w:eastAsia="Times New Roman" w:hAnsi="Arial" w:cs="Arial"/>
          <w:b/>
          <w:bCs/>
          <w:sz w:val="30"/>
          <w:szCs w:val="30"/>
        </w:rPr>
      </w:pPr>
    </w:p>
    <w:p w14:paraId="44E1EA97" w14:textId="77777777" w:rsidR="00427A32" w:rsidRDefault="00427A32" w:rsidP="00243E21">
      <w:pPr>
        <w:spacing w:after="0" w:line="240" w:lineRule="auto"/>
        <w:jc w:val="both"/>
        <w:rPr>
          <w:rFonts w:ascii="Arial" w:eastAsia="Times New Roman" w:hAnsi="Arial" w:cs="Arial"/>
          <w:color w:val="000000"/>
          <w:sz w:val="24"/>
          <w:szCs w:val="24"/>
        </w:rPr>
      </w:pPr>
    </w:p>
    <w:p w14:paraId="29F178CD" w14:textId="77777777" w:rsidR="00194286" w:rsidRDefault="00194286" w:rsidP="00243E21">
      <w:pPr>
        <w:spacing w:after="0" w:line="240" w:lineRule="auto"/>
        <w:jc w:val="both"/>
        <w:rPr>
          <w:rFonts w:ascii="Arial" w:eastAsia="Times New Roman" w:hAnsi="Arial" w:cs="Arial"/>
          <w:color w:val="000000"/>
          <w:sz w:val="24"/>
          <w:szCs w:val="24"/>
        </w:rPr>
      </w:pPr>
    </w:p>
    <w:p w14:paraId="2FB41110" w14:textId="77777777" w:rsidR="00194286" w:rsidRDefault="00194286" w:rsidP="00243E21">
      <w:pPr>
        <w:spacing w:after="0" w:line="240" w:lineRule="auto"/>
        <w:jc w:val="both"/>
        <w:rPr>
          <w:rFonts w:ascii="Arial" w:eastAsia="Times New Roman" w:hAnsi="Arial" w:cs="Arial"/>
          <w:color w:val="000000"/>
          <w:sz w:val="24"/>
          <w:szCs w:val="24"/>
        </w:rPr>
      </w:pPr>
    </w:p>
    <w:p w14:paraId="48D0BA11" w14:textId="77777777" w:rsidR="00E162B7" w:rsidRDefault="00E162B7" w:rsidP="00243E21">
      <w:pPr>
        <w:spacing w:after="0" w:line="240" w:lineRule="auto"/>
        <w:jc w:val="both"/>
        <w:rPr>
          <w:rFonts w:ascii="Arial" w:eastAsia="Times New Roman" w:hAnsi="Arial" w:cs="Arial"/>
          <w:color w:val="000000"/>
          <w:sz w:val="24"/>
          <w:szCs w:val="24"/>
        </w:rPr>
      </w:pPr>
    </w:p>
    <w:p w14:paraId="471F7F0B" w14:textId="77777777" w:rsidR="00E162B7" w:rsidRDefault="00E162B7" w:rsidP="00243E21">
      <w:pPr>
        <w:spacing w:after="0" w:line="240" w:lineRule="auto"/>
        <w:jc w:val="both"/>
        <w:rPr>
          <w:rFonts w:ascii="Arial" w:eastAsia="Times New Roman" w:hAnsi="Arial" w:cs="Arial"/>
          <w:color w:val="000000"/>
          <w:sz w:val="24"/>
          <w:szCs w:val="24"/>
        </w:rPr>
      </w:pPr>
    </w:p>
    <w:p w14:paraId="231CD866" w14:textId="77777777" w:rsidR="00787635" w:rsidRDefault="00787635" w:rsidP="00243E21">
      <w:pPr>
        <w:spacing w:after="0" w:line="240" w:lineRule="auto"/>
        <w:jc w:val="both"/>
        <w:rPr>
          <w:rFonts w:ascii="Arial" w:eastAsia="Times New Roman" w:hAnsi="Arial" w:cs="Arial"/>
          <w:color w:val="000000"/>
          <w:sz w:val="24"/>
          <w:szCs w:val="24"/>
        </w:rPr>
      </w:pPr>
    </w:p>
    <w:p w14:paraId="29FF5C52" w14:textId="6C4EB905" w:rsidR="00243E21" w:rsidRPr="00F41D3F" w:rsidRDefault="00243E21" w:rsidP="00243E21">
      <w:pPr>
        <w:spacing w:after="0" w:line="240" w:lineRule="auto"/>
        <w:jc w:val="both"/>
        <w:rPr>
          <w:rFonts w:ascii="Arial" w:eastAsia="Times New Roman" w:hAnsi="Arial" w:cs="Arial"/>
          <w:color w:val="000000"/>
          <w:sz w:val="24"/>
          <w:szCs w:val="24"/>
        </w:rPr>
      </w:pPr>
      <w:r w:rsidRPr="00F41D3F">
        <w:rPr>
          <w:rFonts w:ascii="Arial" w:eastAsia="Times New Roman" w:hAnsi="Arial" w:cs="Arial"/>
          <w:color w:val="000000"/>
          <w:sz w:val="24"/>
          <w:szCs w:val="24"/>
        </w:rPr>
        <w:t xml:space="preserve">This Patient Group Direction (PGD) must only be used by the registered </w:t>
      </w:r>
      <w:r w:rsidR="00E075F7">
        <w:rPr>
          <w:rFonts w:ascii="Arial" w:eastAsia="Times New Roman" w:hAnsi="Arial" w:cs="Arial"/>
          <w:color w:val="000000"/>
          <w:sz w:val="24"/>
          <w:szCs w:val="24"/>
        </w:rPr>
        <w:t xml:space="preserve">practitioners </w:t>
      </w:r>
      <w:r w:rsidRPr="00F41D3F">
        <w:rPr>
          <w:rFonts w:ascii="Arial" w:eastAsia="Times New Roman" w:hAnsi="Arial" w:cs="Arial"/>
          <w:color w:val="000000"/>
          <w:sz w:val="24"/>
          <w:szCs w:val="24"/>
        </w:rPr>
        <w:t>that have been named and authorised by the organisation to practice under it. The most recent and in date final version of the PGD must be used.</w:t>
      </w:r>
    </w:p>
    <w:p w14:paraId="44857088" w14:textId="77777777" w:rsidR="00243E21" w:rsidRPr="00F41D3F" w:rsidRDefault="00243E21" w:rsidP="00243E21">
      <w:pPr>
        <w:spacing w:after="0" w:line="240" w:lineRule="auto"/>
        <w:jc w:val="both"/>
        <w:rPr>
          <w:rFonts w:ascii="Times New Roman" w:eastAsia="Times New Roman" w:hAnsi="Times New Roman" w:cs="Times New Roman"/>
          <w:sz w:val="24"/>
          <w:szCs w:val="24"/>
        </w:rPr>
      </w:pPr>
    </w:p>
    <w:p w14:paraId="4E3AFAD4" w14:textId="4E66F10A" w:rsidR="00243E21" w:rsidRPr="00FE57B2" w:rsidRDefault="00243E21" w:rsidP="00243E21">
      <w:pPr>
        <w:spacing w:after="240" w:line="240" w:lineRule="auto"/>
        <w:jc w:val="both"/>
        <w:rPr>
          <w:rFonts w:ascii="Arial" w:eastAsia="Times New Roman" w:hAnsi="Arial" w:cs="Arial"/>
          <w:sz w:val="24"/>
          <w:szCs w:val="24"/>
        </w:rPr>
      </w:pPr>
      <w:r w:rsidRPr="00F41D3F">
        <w:rPr>
          <w:rFonts w:ascii="Arial" w:eastAsia="Times New Roman" w:hAnsi="Arial" w:cs="Arial"/>
          <w:sz w:val="24"/>
          <w:szCs w:val="24"/>
        </w:rPr>
        <w:t>This document has been written and authorised on the understanding that it remains in its entirety with no addit</w:t>
      </w:r>
      <w:r>
        <w:rPr>
          <w:rFonts w:ascii="Arial" w:eastAsia="Times New Roman" w:hAnsi="Arial" w:cs="Arial"/>
          <w:sz w:val="24"/>
          <w:szCs w:val="24"/>
        </w:rPr>
        <w:t>ions, omissions</w:t>
      </w:r>
      <w:r w:rsidR="00D67817">
        <w:rPr>
          <w:rFonts w:ascii="Arial" w:eastAsia="Times New Roman" w:hAnsi="Arial" w:cs="Arial"/>
          <w:sz w:val="24"/>
          <w:szCs w:val="24"/>
        </w:rPr>
        <w:t>,</w:t>
      </w:r>
      <w:r>
        <w:rPr>
          <w:rFonts w:ascii="Arial" w:eastAsia="Times New Roman" w:hAnsi="Arial" w:cs="Arial"/>
          <w:sz w:val="24"/>
          <w:szCs w:val="24"/>
        </w:rPr>
        <w:t xml:space="preserve"> or alterations.</w:t>
      </w:r>
    </w:p>
    <w:p w14:paraId="19FBCD99" w14:textId="77777777" w:rsidR="00FE4ED3" w:rsidRPr="00230A2F" w:rsidRDefault="00FE4ED3" w:rsidP="00FE4ED3">
      <w:pPr>
        <w:spacing w:after="0"/>
        <w:jc w:val="both"/>
        <w:rPr>
          <w:rFonts w:ascii="Arial" w:eastAsia="Times New Roman" w:hAnsi="Arial" w:cs="Arial"/>
          <w:b/>
          <w:sz w:val="28"/>
          <w:szCs w:val="28"/>
        </w:rPr>
      </w:pPr>
      <w:r w:rsidRPr="00230A2F">
        <w:rPr>
          <w:rFonts w:ascii="Arial" w:eastAsia="Times New Roman" w:hAnsi="Arial" w:cs="Arial"/>
          <w:b/>
          <w:sz w:val="28"/>
          <w:szCs w:val="28"/>
        </w:rPr>
        <w:tab/>
      </w:r>
    </w:p>
    <w:tbl>
      <w:tblPr>
        <w:tblStyle w:val="TableGrid"/>
        <w:tblW w:w="5000" w:type="pct"/>
        <w:shd w:val="clear" w:color="auto" w:fill="D9D9D9" w:themeFill="background1" w:themeFillShade="D9"/>
        <w:tblLook w:val="04A0" w:firstRow="1" w:lastRow="0" w:firstColumn="1" w:lastColumn="0" w:noHBand="0" w:noVBand="1"/>
      </w:tblPr>
      <w:tblGrid>
        <w:gridCol w:w="2405"/>
        <w:gridCol w:w="6611"/>
      </w:tblGrid>
      <w:tr w:rsidR="00744C6B" w:rsidRPr="00230A2F" w14:paraId="796C567D" w14:textId="77777777" w:rsidTr="00E162B7">
        <w:tc>
          <w:tcPr>
            <w:tcW w:w="1334" w:type="pct"/>
            <w:shd w:val="clear" w:color="auto" w:fill="D9D9D9" w:themeFill="background1" w:themeFillShade="D9"/>
          </w:tcPr>
          <w:p w14:paraId="62EEB5A3"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Reference no:</w:t>
            </w:r>
          </w:p>
        </w:tc>
        <w:tc>
          <w:tcPr>
            <w:tcW w:w="3666" w:type="pct"/>
            <w:shd w:val="clear" w:color="auto" w:fill="FFFFFF" w:themeFill="background1"/>
          </w:tcPr>
          <w:p w14:paraId="47DDC6AA" w14:textId="77777777" w:rsidR="00985EC5" w:rsidRDefault="00744C6B" w:rsidP="00DC63B5">
            <w:pPr>
              <w:ind w:rightChars="-375" w:right="-825"/>
              <w:rPr>
                <w:rFonts w:ascii="Arial" w:hAnsi="Arial" w:cs="Arial"/>
                <w:color w:val="000000" w:themeColor="text1"/>
                <w:sz w:val="24"/>
                <w:szCs w:val="28"/>
              </w:rPr>
            </w:pPr>
            <w:r w:rsidRPr="00230A2F">
              <w:rPr>
                <w:rFonts w:ascii="Arial" w:hAnsi="Arial" w:cs="Arial"/>
                <w:sz w:val="24"/>
                <w:szCs w:val="28"/>
              </w:rPr>
              <w:t>PGD/</w:t>
            </w:r>
            <w:r w:rsidR="00044743">
              <w:rPr>
                <w:rFonts w:ascii="Arial" w:hAnsi="Arial" w:cs="Arial"/>
                <w:color w:val="000000" w:themeColor="text1"/>
                <w:sz w:val="24"/>
                <w:szCs w:val="28"/>
              </w:rPr>
              <w:t xml:space="preserve"> </w:t>
            </w:r>
            <w:r w:rsidR="00985EC5">
              <w:rPr>
                <w:rFonts w:ascii="Arial" w:hAnsi="Arial" w:cs="Arial"/>
                <w:color w:val="000000" w:themeColor="text1"/>
                <w:sz w:val="24"/>
                <w:szCs w:val="28"/>
              </w:rPr>
              <w:t>Neomycin/dexamethasone/acetic acid ear spray</w:t>
            </w:r>
            <w:r w:rsidR="00DC63B5">
              <w:rPr>
                <w:rFonts w:ascii="Arial" w:hAnsi="Arial" w:cs="Arial"/>
                <w:color w:val="000000" w:themeColor="text1"/>
                <w:sz w:val="24"/>
                <w:szCs w:val="28"/>
              </w:rPr>
              <w:t xml:space="preserve"> for </w:t>
            </w:r>
          </w:p>
          <w:p w14:paraId="7ABB2AF8" w14:textId="1DD9CEC3" w:rsidR="00744C6B" w:rsidRPr="0087398C" w:rsidRDefault="00DC63B5" w:rsidP="00DC63B5">
            <w:pPr>
              <w:ind w:rightChars="-375" w:right="-825"/>
              <w:rPr>
                <w:rFonts w:ascii="Arial" w:hAnsi="Arial" w:cs="Arial"/>
                <w:color w:val="000000" w:themeColor="text1"/>
                <w:sz w:val="24"/>
                <w:szCs w:val="28"/>
              </w:rPr>
            </w:pPr>
            <w:r>
              <w:rPr>
                <w:rFonts w:ascii="Arial" w:hAnsi="Arial" w:cs="Arial"/>
                <w:color w:val="000000" w:themeColor="text1"/>
                <w:sz w:val="24"/>
                <w:szCs w:val="28"/>
              </w:rPr>
              <w:t>Otitis Externa</w:t>
            </w:r>
          </w:p>
        </w:tc>
      </w:tr>
      <w:tr w:rsidR="00744C6B" w:rsidRPr="00230A2F" w14:paraId="7CCE6DF2" w14:textId="77777777" w:rsidTr="00E162B7">
        <w:tc>
          <w:tcPr>
            <w:tcW w:w="1334" w:type="pct"/>
            <w:shd w:val="clear" w:color="auto" w:fill="D9D9D9" w:themeFill="background1" w:themeFillShade="D9"/>
          </w:tcPr>
          <w:p w14:paraId="4C3EF6EA"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 xml:space="preserve">Version no: </w:t>
            </w:r>
            <w:r w:rsidRPr="00230A2F">
              <w:rPr>
                <w:rFonts w:ascii="Arial" w:hAnsi="Arial" w:cs="Arial"/>
                <w:sz w:val="24"/>
                <w:szCs w:val="28"/>
              </w:rPr>
              <w:tab/>
            </w:r>
          </w:p>
        </w:tc>
        <w:tc>
          <w:tcPr>
            <w:tcW w:w="3666" w:type="pct"/>
            <w:shd w:val="clear" w:color="auto" w:fill="FFFFFF" w:themeFill="background1"/>
          </w:tcPr>
          <w:p w14:paraId="26935271" w14:textId="4B5A5F56" w:rsidR="00744C6B" w:rsidRPr="00044743" w:rsidRDefault="00744C6B" w:rsidP="001E22E5">
            <w:pPr>
              <w:ind w:rightChars="-375" w:right="-825"/>
              <w:rPr>
                <w:rFonts w:ascii="Arial" w:hAnsi="Arial" w:cs="Arial"/>
                <w:color w:val="000000" w:themeColor="text1"/>
                <w:sz w:val="24"/>
                <w:szCs w:val="28"/>
              </w:rPr>
            </w:pPr>
            <w:r w:rsidRPr="00044743">
              <w:rPr>
                <w:rFonts w:ascii="Arial" w:hAnsi="Arial" w:cs="Arial"/>
                <w:color w:val="000000" w:themeColor="text1"/>
                <w:sz w:val="24"/>
                <w:szCs w:val="28"/>
              </w:rPr>
              <w:t>1</w:t>
            </w:r>
            <w:r w:rsidR="00B73482" w:rsidRPr="00044743">
              <w:rPr>
                <w:rFonts w:ascii="Arial" w:hAnsi="Arial" w:cs="Arial"/>
                <w:color w:val="000000" w:themeColor="text1"/>
                <w:sz w:val="24"/>
                <w:szCs w:val="28"/>
              </w:rPr>
              <w:t>.0</w:t>
            </w:r>
          </w:p>
        </w:tc>
      </w:tr>
      <w:tr w:rsidR="00744C6B" w:rsidRPr="00230A2F" w14:paraId="10F0A5F7" w14:textId="77777777" w:rsidTr="00E162B7">
        <w:tc>
          <w:tcPr>
            <w:tcW w:w="1334" w:type="pct"/>
            <w:shd w:val="clear" w:color="auto" w:fill="D9D9D9" w:themeFill="background1" w:themeFillShade="D9"/>
          </w:tcPr>
          <w:p w14:paraId="165CE643"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Valid from:</w:t>
            </w:r>
          </w:p>
        </w:tc>
        <w:tc>
          <w:tcPr>
            <w:tcW w:w="3666" w:type="pct"/>
            <w:shd w:val="clear" w:color="auto" w:fill="FFFFFF" w:themeFill="background1"/>
          </w:tcPr>
          <w:p w14:paraId="04FA49DF" w14:textId="468F3A72" w:rsidR="00744C6B" w:rsidRPr="00044743" w:rsidRDefault="00744C6B" w:rsidP="001E22E5">
            <w:pPr>
              <w:ind w:rightChars="-375" w:right="-825"/>
              <w:rPr>
                <w:rFonts w:ascii="Arial" w:hAnsi="Arial" w:cs="Arial"/>
                <w:color w:val="000000" w:themeColor="text1"/>
                <w:sz w:val="24"/>
                <w:szCs w:val="28"/>
              </w:rPr>
            </w:pPr>
            <w:r w:rsidRPr="00044743">
              <w:rPr>
                <w:rFonts w:ascii="Arial" w:hAnsi="Arial" w:cs="Arial"/>
                <w:color w:val="000000" w:themeColor="text1"/>
                <w:sz w:val="24"/>
                <w:szCs w:val="28"/>
              </w:rPr>
              <w:t>1</w:t>
            </w:r>
            <w:r w:rsidRPr="00044743">
              <w:rPr>
                <w:rFonts w:ascii="Arial" w:hAnsi="Arial" w:cs="Arial"/>
                <w:color w:val="000000" w:themeColor="text1"/>
                <w:sz w:val="24"/>
                <w:szCs w:val="28"/>
                <w:vertAlign w:val="superscript"/>
              </w:rPr>
              <w:t>st</w:t>
            </w:r>
            <w:r w:rsidRPr="00044743">
              <w:rPr>
                <w:rFonts w:ascii="Arial" w:hAnsi="Arial" w:cs="Arial"/>
                <w:color w:val="000000" w:themeColor="text1"/>
                <w:sz w:val="24"/>
                <w:szCs w:val="28"/>
              </w:rPr>
              <w:t xml:space="preserve"> </w:t>
            </w:r>
            <w:r w:rsidR="00E162B7" w:rsidRPr="00044743">
              <w:rPr>
                <w:rFonts w:ascii="Arial" w:hAnsi="Arial" w:cs="Arial"/>
                <w:color w:val="000000" w:themeColor="text1"/>
                <w:sz w:val="24"/>
                <w:szCs w:val="28"/>
              </w:rPr>
              <w:t>July 2026</w:t>
            </w:r>
          </w:p>
        </w:tc>
      </w:tr>
      <w:tr w:rsidR="00744C6B" w:rsidRPr="00230A2F" w14:paraId="33776BE2" w14:textId="77777777" w:rsidTr="00E162B7">
        <w:tc>
          <w:tcPr>
            <w:tcW w:w="1334" w:type="pct"/>
            <w:shd w:val="clear" w:color="auto" w:fill="D9D9D9" w:themeFill="background1" w:themeFillShade="D9"/>
          </w:tcPr>
          <w:p w14:paraId="7B1B9FD0"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Review date:</w:t>
            </w:r>
          </w:p>
        </w:tc>
        <w:tc>
          <w:tcPr>
            <w:tcW w:w="3666" w:type="pct"/>
            <w:shd w:val="clear" w:color="auto" w:fill="FFFFFF" w:themeFill="background1"/>
          </w:tcPr>
          <w:p w14:paraId="6DCED968" w14:textId="0FF0997A" w:rsidR="00744C6B" w:rsidRPr="00044743" w:rsidRDefault="00E162B7" w:rsidP="001E22E5">
            <w:pPr>
              <w:ind w:rightChars="-375" w:right="-825"/>
              <w:rPr>
                <w:rFonts w:ascii="Arial" w:hAnsi="Arial" w:cs="Arial"/>
                <w:color w:val="000000" w:themeColor="text1"/>
                <w:sz w:val="24"/>
                <w:szCs w:val="28"/>
              </w:rPr>
            </w:pPr>
            <w:r w:rsidRPr="00044743">
              <w:rPr>
                <w:rFonts w:ascii="Arial" w:hAnsi="Arial" w:cs="Arial"/>
                <w:color w:val="000000" w:themeColor="text1"/>
                <w:sz w:val="24"/>
                <w:szCs w:val="28"/>
              </w:rPr>
              <w:t>May 2029</w:t>
            </w:r>
          </w:p>
        </w:tc>
      </w:tr>
      <w:tr w:rsidR="00744C6B" w:rsidRPr="00230A2F" w14:paraId="36A55ED9" w14:textId="77777777" w:rsidTr="00E162B7">
        <w:tc>
          <w:tcPr>
            <w:tcW w:w="1334" w:type="pct"/>
            <w:shd w:val="clear" w:color="auto" w:fill="D9D9D9" w:themeFill="background1" w:themeFillShade="D9"/>
          </w:tcPr>
          <w:p w14:paraId="077295BF" w14:textId="77777777" w:rsidR="00744C6B" w:rsidRPr="00230A2F" w:rsidRDefault="00744C6B" w:rsidP="001E22E5">
            <w:pPr>
              <w:ind w:rightChars="-375" w:right="-825"/>
              <w:rPr>
                <w:rFonts w:ascii="Arial" w:hAnsi="Arial" w:cs="Arial"/>
                <w:sz w:val="24"/>
                <w:szCs w:val="28"/>
              </w:rPr>
            </w:pPr>
            <w:r w:rsidRPr="00230A2F">
              <w:rPr>
                <w:rFonts w:ascii="Arial" w:hAnsi="Arial" w:cs="Arial"/>
                <w:sz w:val="24"/>
                <w:szCs w:val="28"/>
              </w:rPr>
              <w:t>Expiry date:</w:t>
            </w:r>
          </w:p>
        </w:tc>
        <w:tc>
          <w:tcPr>
            <w:tcW w:w="3666" w:type="pct"/>
            <w:shd w:val="clear" w:color="auto" w:fill="FFFFFF" w:themeFill="background1"/>
          </w:tcPr>
          <w:p w14:paraId="51E76F4B" w14:textId="447AB53D" w:rsidR="00744C6B" w:rsidRPr="00044743" w:rsidRDefault="00E162B7" w:rsidP="001E22E5">
            <w:pPr>
              <w:ind w:rightChars="-375" w:right="-825"/>
              <w:rPr>
                <w:rFonts w:ascii="Arial" w:hAnsi="Arial" w:cs="Arial"/>
                <w:color w:val="000000" w:themeColor="text1"/>
                <w:sz w:val="24"/>
                <w:szCs w:val="28"/>
              </w:rPr>
            </w:pPr>
            <w:r w:rsidRPr="00044743">
              <w:rPr>
                <w:rFonts w:ascii="Arial" w:hAnsi="Arial" w:cs="Arial"/>
                <w:color w:val="000000" w:themeColor="text1"/>
                <w:sz w:val="24"/>
                <w:szCs w:val="28"/>
              </w:rPr>
              <w:t>30</w:t>
            </w:r>
            <w:r w:rsidRPr="00044743">
              <w:rPr>
                <w:rFonts w:ascii="Arial" w:hAnsi="Arial" w:cs="Arial"/>
                <w:color w:val="000000" w:themeColor="text1"/>
                <w:sz w:val="24"/>
                <w:szCs w:val="28"/>
                <w:vertAlign w:val="superscript"/>
              </w:rPr>
              <w:t>th</w:t>
            </w:r>
            <w:r w:rsidRPr="00044743">
              <w:rPr>
                <w:rFonts w:ascii="Arial" w:hAnsi="Arial" w:cs="Arial"/>
                <w:color w:val="000000" w:themeColor="text1"/>
                <w:sz w:val="24"/>
                <w:szCs w:val="28"/>
              </w:rPr>
              <w:t xml:space="preserve"> June 2029</w:t>
            </w:r>
          </w:p>
        </w:tc>
      </w:tr>
    </w:tbl>
    <w:p w14:paraId="1B513166" w14:textId="77777777" w:rsidR="00FE4ED3" w:rsidRPr="00230A2F" w:rsidRDefault="00FE4ED3" w:rsidP="00243E21">
      <w:pPr>
        <w:spacing w:after="0" w:line="240" w:lineRule="auto"/>
        <w:rPr>
          <w:rFonts w:ascii="Arial" w:eastAsia="Times New Roman" w:hAnsi="Arial" w:cs="Arial"/>
          <w:b/>
          <w:bCs/>
          <w:color w:val="000000"/>
          <w:sz w:val="24"/>
          <w:szCs w:val="24"/>
        </w:rPr>
      </w:pPr>
    </w:p>
    <w:p w14:paraId="14E0D479" w14:textId="77777777" w:rsidR="00243E21" w:rsidRPr="00230A2F" w:rsidRDefault="00243E21" w:rsidP="00243E21">
      <w:pPr>
        <w:spacing w:after="0" w:line="240" w:lineRule="auto"/>
        <w:rPr>
          <w:rFonts w:ascii="Arial" w:eastAsia="Times New Roman" w:hAnsi="Arial" w:cs="Arial"/>
          <w:b/>
          <w:bCs/>
          <w:color w:val="000000"/>
          <w:sz w:val="24"/>
          <w:szCs w:val="24"/>
        </w:rPr>
      </w:pPr>
      <w:r w:rsidRPr="00230A2F">
        <w:rPr>
          <w:rFonts w:ascii="Arial" w:eastAsia="Times New Roman" w:hAnsi="Arial" w:cs="Arial"/>
          <w:b/>
          <w:bCs/>
          <w:color w:val="000000"/>
          <w:sz w:val="24"/>
          <w:szCs w:val="24"/>
        </w:rPr>
        <w:t>Change History</w:t>
      </w:r>
    </w:p>
    <w:p w14:paraId="2738577A" w14:textId="77777777" w:rsidR="00194286" w:rsidRPr="00230A2F" w:rsidRDefault="00194286" w:rsidP="00243E21">
      <w:pPr>
        <w:spacing w:after="0" w:line="240" w:lineRule="auto"/>
        <w:rPr>
          <w:rFonts w:ascii="Arial" w:eastAsia="Times New Roman"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020"/>
        <w:gridCol w:w="1123"/>
      </w:tblGrid>
      <w:tr w:rsidR="00194286" w:rsidRPr="00230A2F" w14:paraId="62E0DEB0" w14:textId="77777777" w:rsidTr="00F80934">
        <w:trPr>
          <w:trHeight w:val="490"/>
        </w:trPr>
        <w:tc>
          <w:tcPr>
            <w:tcW w:w="1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0B4C5" w14:textId="77777777" w:rsidR="00194286" w:rsidRPr="00230A2F" w:rsidRDefault="00194286" w:rsidP="00194286">
            <w:pPr>
              <w:keepNext/>
              <w:spacing w:after="60"/>
              <w:rPr>
                <w:rFonts w:ascii="Arial" w:hAnsi="Arial" w:cs="Arial"/>
                <w:b/>
                <w:bCs/>
                <w:sz w:val="24"/>
                <w:szCs w:val="28"/>
              </w:rPr>
            </w:pPr>
            <w:r w:rsidRPr="00230A2F">
              <w:rPr>
                <w:rFonts w:ascii="Arial" w:hAnsi="Arial" w:cs="Arial"/>
                <w:b/>
                <w:bCs/>
                <w:sz w:val="24"/>
                <w:szCs w:val="28"/>
              </w:rPr>
              <w:t>Version number</w:t>
            </w:r>
          </w:p>
        </w:tc>
        <w:tc>
          <w:tcPr>
            <w:tcW w:w="2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3AE0D" w14:textId="77777777" w:rsidR="00194286" w:rsidRPr="00230A2F" w:rsidRDefault="00194286" w:rsidP="00194286">
            <w:pPr>
              <w:keepNext/>
              <w:spacing w:after="60"/>
              <w:rPr>
                <w:rFonts w:ascii="Arial" w:hAnsi="Arial" w:cs="Arial"/>
                <w:b/>
                <w:bCs/>
                <w:sz w:val="24"/>
                <w:szCs w:val="28"/>
              </w:rPr>
            </w:pPr>
            <w:r w:rsidRPr="00230A2F">
              <w:rPr>
                <w:rFonts w:ascii="Arial" w:hAnsi="Arial" w:cs="Arial"/>
                <w:b/>
                <w:bCs/>
                <w:sz w:val="24"/>
                <w:szCs w:val="28"/>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90350" w14:textId="77777777" w:rsidR="00194286" w:rsidRPr="00230A2F" w:rsidRDefault="00194286" w:rsidP="00194286">
            <w:pPr>
              <w:keepNext/>
              <w:spacing w:after="60"/>
              <w:rPr>
                <w:rFonts w:ascii="Arial" w:hAnsi="Arial" w:cs="Arial"/>
                <w:b/>
                <w:bCs/>
                <w:sz w:val="24"/>
                <w:szCs w:val="28"/>
              </w:rPr>
            </w:pPr>
            <w:r w:rsidRPr="00230A2F">
              <w:rPr>
                <w:rFonts w:ascii="Arial" w:hAnsi="Arial" w:cs="Arial"/>
                <w:b/>
                <w:bCs/>
                <w:sz w:val="24"/>
                <w:szCs w:val="28"/>
              </w:rPr>
              <w:t>Date</w:t>
            </w:r>
          </w:p>
        </w:tc>
      </w:tr>
      <w:tr w:rsidR="00194286" w:rsidRPr="00230A2F" w14:paraId="7083B161" w14:textId="77777777" w:rsidTr="00044743">
        <w:trPr>
          <w:trHeight w:val="906"/>
        </w:trPr>
        <w:tc>
          <w:tcPr>
            <w:tcW w:w="1334" w:type="pct"/>
            <w:tcBorders>
              <w:top w:val="single" w:sz="4" w:space="0" w:color="auto"/>
              <w:left w:val="single" w:sz="4" w:space="0" w:color="auto"/>
              <w:bottom w:val="single" w:sz="4" w:space="0" w:color="auto"/>
              <w:right w:val="single" w:sz="4" w:space="0" w:color="auto"/>
            </w:tcBorders>
          </w:tcPr>
          <w:p w14:paraId="67CC02D7" w14:textId="613B7BDC" w:rsidR="00194286" w:rsidRPr="00230A2F" w:rsidRDefault="00E162B7" w:rsidP="00194286">
            <w:pPr>
              <w:rPr>
                <w:rFonts w:ascii="Arial" w:hAnsi="Arial" w:cs="Arial"/>
                <w:bCs/>
                <w:sz w:val="24"/>
                <w:szCs w:val="24"/>
              </w:rPr>
            </w:pPr>
            <w:r w:rsidRPr="00044743">
              <w:rPr>
                <w:rFonts w:ascii="Arial" w:hAnsi="Arial" w:cs="Arial"/>
                <w:bCs/>
                <w:color w:val="000000" w:themeColor="text1"/>
                <w:sz w:val="24"/>
                <w:szCs w:val="24"/>
              </w:rPr>
              <w:t>V1.0</w:t>
            </w:r>
          </w:p>
        </w:tc>
        <w:tc>
          <w:tcPr>
            <w:tcW w:w="2749" w:type="pct"/>
            <w:tcBorders>
              <w:top w:val="single" w:sz="4" w:space="0" w:color="auto"/>
              <w:left w:val="single" w:sz="4" w:space="0" w:color="auto"/>
              <w:bottom w:val="single" w:sz="4" w:space="0" w:color="auto"/>
              <w:right w:val="single" w:sz="4" w:space="0" w:color="auto"/>
            </w:tcBorders>
          </w:tcPr>
          <w:p w14:paraId="1895EA71" w14:textId="2ED1492C" w:rsidR="00194286" w:rsidRPr="00044743" w:rsidRDefault="00194286" w:rsidP="00044743">
            <w:pPr>
              <w:spacing w:after="0"/>
              <w:rPr>
                <w:rFonts w:ascii="Arial" w:hAnsi="Arial" w:cs="Arial"/>
                <w:bCs/>
                <w:color w:val="000000" w:themeColor="text1"/>
                <w:sz w:val="24"/>
                <w:szCs w:val="24"/>
              </w:rPr>
            </w:pPr>
            <w:r w:rsidRPr="00044743">
              <w:rPr>
                <w:rFonts w:ascii="Arial" w:hAnsi="Arial" w:cs="Arial"/>
                <w:bCs/>
                <w:color w:val="000000" w:themeColor="text1"/>
                <w:sz w:val="24"/>
                <w:szCs w:val="24"/>
              </w:rPr>
              <w:t xml:space="preserve">New </w:t>
            </w:r>
            <w:r w:rsidR="000F2802" w:rsidRPr="00044743">
              <w:rPr>
                <w:rFonts w:ascii="Arial" w:hAnsi="Arial" w:cs="Arial"/>
                <w:bCs/>
                <w:color w:val="000000" w:themeColor="text1"/>
                <w:sz w:val="24"/>
                <w:szCs w:val="24"/>
              </w:rPr>
              <w:t xml:space="preserve">NHS Gloucestershire </w:t>
            </w:r>
            <w:r w:rsidRPr="00044743">
              <w:rPr>
                <w:rFonts w:ascii="Arial" w:hAnsi="Arial" w:cs="Arial"/>
                <w:bCs/>
                <w:color w:val="000000" w:themeColor="text1"/>
                <w:sz w:val="24"/>
                <w:szCs w:val="24"/>
              </w:rPr>
              <w:t xml:space="preserve">PGD </w:t>
            </w:r>
            <w:r w:rsidR="00044743">
              <w:rPr>
                <w:rFonts w:ascii="Arial" w:hAnsi="Arial" w:cs="Arial"/>
                <w:bCs/>
                <w:color w:val="000000" w:themeColor="text1"/>
                <w:sz w:val="24"/>
                <w:szCs w:val="24"/>
              </w:rPr>
              <w:t>based on BNSSGs</w:t>
            </w:r>
            <w:r w:rsidR="0087398C">
              <w:rPr>
                <w:rFonts w:ascii="Arial" w:hAnsi="Arial" w:cs="Arial"/>
                <w:bCs/>
                <w:color w:val="000000" w:themeColor="text1"/>
                <w:sz w:val="24"/>
                <w:szCs w:val="24"/>
              </w:rPr>
              <w:t xml:space="preserve"> </w:t>
            </w:r>
            <w:r w:rsidR="00DC63B5">
              <w:rPr>
                <w:rFonts w:ascii="Arial" w:hAnsi="Arial" w:cs="Arial"/>
                <w:bCs/>
                <w:color w:val="000000" w:themeColor="text1"/>
                <w:sz w:val="24"/>
                <w:szCs w:val="24"/>
              </w:rPr>
              <w:t>PGD Otomize</w:t>
            </w:r>
            <w:r w:rsidR="00DC63B5" w:rsidRPr="00DC63B5">
              <w:rPr>
                <w:rFonts w:ascii="Arial" w:hAnsi="Arial" w:cs="Arial"/>
                <w:bCs/>
                <w:color w:val="000000" w:themeColor="text1"/>
                <w:sz w:val="24"/>
                <w:szCs w:val="24"/>
                <w:vertAlign w:val="superscript"/>
              </w:rPr>
              <w:t>®</w:t>
            </w:r>
            <w:r w:rsidR="00DC63B5">
              <w:rPr>
                <w:rFonts w:ascii="Arial" w:hAnsi="Arial" w:cs="Arial"/>
                <w:bCs/>
                <w:color w:val="000000" w:themeColor="text1"/>
                <w:sz w:val="24"/>
                <w:szCs w:val="24"/>
              </w:rPr>
              <w:t xml:space="preserve"> for otitis externa: </w:t>
            </w:r>
            <w:hyperlink r:id="rId8" w:history="1">
              <w:r w:rsidR="00DC63B5" w:rsidRPr="00C80056">
                <w:rPr>
                  <w:rStyle w:val="Hyperlink"/>
                  <w:rFonts w:ascii="Arial" w:hAnsi="Arial" w:cs="Arial"/>
                  <w:bCs/>
                  <w:sz w:val="24"/>
                  <w:szCs w:val="24"/>
                </w:rPr>
                <w:t>https://remedy.bnssg.icb.nhs.uk/media/flod250f/bnssg-comm-pharm-otomize-pgd-march-25-final-signed.pdf</w:t>
              </w:r>
            </w:hyperlink>
            <w:r w:rsidR="00DC63B5">
              <w:rPr>
                <w:rFonts w:ascii="Arial" w:hAnsi="Arial" w:cs="Arial"/>
                <w:bCs/>
                <w:color w:val="000000" w:themeColor="text1"/>
                <w:sz w:val="24"/>
                <w:szCs w:val="24"/>
              </w:rPr>
              <w:t xml:space="preserve"> </w:t>
            </w:r>
          </w:p>
        </w:tc>
        <w:tc>
          <w:tcPr>
            <w:tcW w:w="917" w:type="pct"/>
            <w:tcBorders>
              <w:top w:val="single" w:sz="4" w:space="0" w:color="auto"/>
              <w:left w:val="single" w:sz="4" w:space="0" w:color="auto"/>
              <w:bottom w:val="single" w:sz="4" w:space="0" w:color="auto"/>
              <w:right w:val="single" w:sz="4" w:space="0" w:color="auto"/>
            </w:tcBorders>
          </w:tcPr>
          <w:p w14:paraId="4A4FBFF3" w14:textId="736DE3D2" w:rsidR="00194286" w:rsidRPr="00230A2F" w:rsidRDefault="00DF2ACA" w:rsidP="00194286">
            <w:pPr>
              <w:rPr>
                <w:rFonts w:ascii="Arial" w:hAnsi="Arial" w:cs="Arial"/>
                <w:bCs/>
                <w:sz w:val="24"/>
                <w:szCs w:val="24"/>
              </w:rPr>
            </w:pPr>
            <w:r>
              <w:rPr>
                <w:rFonts w:ascii="Arial" w:hAnsi="Arial" w:cs="Arial"/>
                <w:bCs/>
                <w:color w:val="000000" w:themeColor="text1"/>
                <w:sz w:val="24"/>
                <w:szCs w:val="24"/>
              </w:rPr>
              <w:t>June</w:t>
            </w:r>
            <w:r w:rsidR="00E162B7" w:rsidRPr="00044743">
              <w:rPr>
                <w:rFonts w:ascii="Arial" w:hAnsi="Arial" w:cs="Arial"/>
                <w:bCs/>
                <w:color w:val="000000" w:themeColor="text1"/>
                <w:sz w:val="24"/>
                <w:szCs w:val="24"/>
              </w:rPr>
              <w:t xml:space="preserve"> 2026</w:t>
            </w:r>
          </w:p>
        </w:tc>
      </w:tr>
    </w:tbl>
    <w:p w14:paraId="18B2D867" w14:textId="77777777" w:rsidR="00B30FD8" w:rsidRDefault="00B30FD8"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7EF6A70E"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0C4FDE76"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3D86EFE8"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48FD5D8A"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317CA10F" w14:textId="77777777" w:rsidR="00B63FDB" w:rsidRDefault="00B63FDB" w:rsidP="00BE3119">
      <w:pPr>
        <w:pStyle w:val="Header"/>
        <w:tabs>
          <w:tab w:val="clear" w:pos="4513"/>
          <w:tab w:val="clear" w:pos="9026"/>
          <w:tab w:val="left" w:pos="567"/>
          <w:tab w:val="center" w:pos="4153"/>
          <w:tab w:val="right" w:pos="8306"/>
        </w:tabs>
        <w:overflowPunct w:val="0"/>
        <w:autoSpaceDE w:val="0"/>
        <w:autoSpaceDN w:val="0"/>
        <w:adjustRightInd w:val="0"/>
        <w:ind w:firstLine="720"/>
        <w:textAlignment w:val="baseline"/>
        <w:rPr>
          <w:rFonts w:ascii="Arial" w:hAnsi="Arial" w:cs="Arial"/>
          <w:b/>
          <w:szCs w:val="24"/>
        </w:rPr>
      </w:pPr>
    </w:p>
    <w:p w14:paraId="4CE2BAD6" w14:textId="457AF26B" w:rsidR="00194286" w:rsidRPr="00230A2F" w:rsidRDefault="00194286"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 w:val="24"/>
          <w:szCs w:val="28"/>
        </w:rPr>
      </w:pPr>
      <w:r w:rsidRPr="00230A2F">
        <w:rPr>
          <w:rFonts w:ascii="Arial" w:hAnsi="Arial" w:cs="Arial"/>
          <w:b/>
          <w:sz w:val="24"/>
          <w:szCs w:val="28"/>
        </w:rPr>
        <w:lastRenderedPageBreak/>
        <w:t>PGD development and authorisation</w:t>
      </w:r>
      <w:r w:rsidRPr="00230A2F">
        <w:rPr>
          <w:rFonts w:ascii="Arial" w:hAnsi="Arial" w:cs="Arial"/>
          <w:sz w:val="24"/>
          <w:szCs w:val="28"/>
        </w:rPr>
        <w:t xml:space="preserve"> (organisational</w:t>
      </w:r>
      <w:r w:rsidR="00787635" w:rsidRPr="00230A2F">
        <w:rPr>
          <w:rFonts w:ascii="Arial" w:hAnsi="Arial" w:cs="Arial"/>
          <w:sz w:val="24"/>
          <w:szCs w:val="28"/>
        </w:rPr>
        <w:t xml:space="preserve"> a</w:t>
      </w:r>
      <w:r w:rsidRPr="00230A2F">
        <w:rPr>
          <w:rFonts w:ascii="Arial" w:hAnsi="Arial" w:cs="Arial"/>
          <w:sz w:val="24"/>
          <w:szCs w:val="28"/>
        </w:rPr>
        <w:t>pproval is a legal requirement)</w:t>
      </w:r>
    </w:p>
    <w:p w14:paraId="31267BA2" w14:textId="7DCF3097" w:rsidR="00194286" w:rsidRPr="00230A2F" w:rsidRDefault="00194286" w:rsidP="00194286">
      <w:pPr>
        <w:pStyle w:val="Header"/>
        <w:tabs>
          <w:tab w:val="left" w:pos="567"/>
        </w:tabs>
        <w:ind w:left="360"/>
        <w:rPr>
          <w:rFonts w:ascii="Arial" w:hAnsi="Arial" w:cs="Arial"/>
          <w:sz w:val="24"/>
          <w:szCs w:val="24"/>
        </w:rPr>
      </w:pPr>
      <w:r w:rsidRPr="00230A2F">
        <w:rPr>
          <w:rFonts w:ascii="Arial" w:hAnsi="Arial" w:cs="Arial"/>
          <w:sz w:val="24"/>
          <w:szCs w:val="24"/>
        </w:rPr>
        <w:t>This PGD has been developed and authorised by the following health professionals on behalf of NHS Gloucestershire</w:t>
      </w:r>
      <w:r w:rsidR="000F2802" w:rsidRPr="00230A2F">
        <w:rPr>
          <w:rFonts w:ascii="Arial" w:hAnsi="Arial" w:cs="Arial"/>
          <w:sz w:val="24"/>
          <w:szCs w:val="24"/>
        </w:rPr>
        <w:t>:</w:t>
      </w:r>
    </w:p>
    <w:p w14:paraId="3FC866B5" w14:textId="77777777" w:rsidR="00194286" w:rsidRPr="00974B3C" w:rsidRDefault="00194286" w:rsidP="00194286">
      <w:pPr>
        <w:pStyle w:val="Header"/>
        <w:rPr>
          <w:rFonts w:ascii="Arial" w:hAnsi="Arial" w:cs="Arial"/>
          <w:color w:val="FF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73"/>
        <w:gridCol w:w="2716"/>
        <w:gridCol w:w="2659"/>
        <w:gridCol w:w="1558"/>
      </w:tblGrid>
      <w:tr w:rsidR="00291CBB" w:rsidRPr="00230A2F" w14:paraId="58E6E2D5" w14:textId="77777777" w:rsidTr="00A346B5">
        <w:trPr>
          <w:trHeight w:val="549"/>
        </w:trPr>
        <w:tc>
          <w:tcPr>
            <w:tcW w:w="1286" w:type="pct"/>
            <w:shd w:val="clear" w:color="auto" w:fill="D9D9D9" w:themeFill="background1" w:themeFillShade="D9"/>
            <w:vAlign w:val="center"/>
          </w:tcPr>
          <w:p w14:paraId="7C472628" w14:textId="77777777" w:rsidR="00291CBB" w:rsidRPr="00230A2F" w:rsidRDefault="00291CBB" w:rsidP="00475198">
            <w:pPr>
              <w:rPr>
                <w:rFonts w:ascii="Arial" w:hAnsi="Arial" w:cs="Arial"/>
                <w:sz w:val="24"/>
                <w:szCs w:val="24"/>
              </w:rPr>
            </w:pPr>
            <w:bookmarkStart w:id="1" w:name="_Hlk117590785"/>
            <w:r w:rsidRPr="00230A2F">
              <w:rPr>
                <w:rFonts w:ascii="Arial" w:hAnsi="Arial" w:cs="Arial"/>
                <w:b/>
                <w:sz w:val="24"/>
                <w:szCs w:val="24"/>
              </w:rPr>
              <w:t>Developed by:</w:t>
            </w:r>
          </w:p>
        </w:tc>
        <w:tc>
          <w:tcPr>
            <w:tcW w:w="1643" w:type="pct"/>
            <w:shd w:val="clear" w:color="auto" w:fill="D9D9D9" w:themeFill="background1" w:themeFillShade="D9"/>
            <w:vAlign w:val="center"/>
          </w:tcPr>
          <w:p w14:paraId="508FB67B" w14:textId="77777777" w:rsidR="00291CBB" w:rsidRPr="00230A2F" w:rsidRDefault="00291CBB" w:rsidP="00475198">
            <w:pPr>
              <w:rPr>
                <w:rFonts w:ascii="Arial" w:hAnsi="Arial" w:cs="Arial"/>
                <w:b/>
                <w:sz w:val="24"/>
                <w:szCs w:val="24"/>
              </w:rPr>
            </w:pPr>
            <w:r w:rsidRPr="00230A2F">
              <w:rPr>
                <w:rFonts w:ascii="Arial" w:hAnsi="Arial" w:cs="Arial"/>
                <w:b/>
                <w:sz w:val="24"/>
                <w:szCs w:val="24"/>
              </w:rPr>
              <w:t>Name</w:t>
            </w:r>
          </w:p>
        </w:tc>
        <w:tc>
          <w:tcPr>
            <w:tcW w:w="1071" w:type="pct"/>
            <w:shd w:val="clear" w:color="auto" w:fill="D9D9D9" w:themeFill="background1" w:themeFillShade="D9"/>
            <w:vAlign w:val="center"/>
          </w:tcPr>
          <w:p w14:paraId="34586088" w14:textId="77777777" w:rsidR="00291CBB" w:rsidRPr="00230A2F" w:rsidRDefault="00291CBB" w:rsidP="00475198">
            <w:pPr>
              <w:rPr>
                <w:rFonts w:ascii="Arial" w:hAnsi="Arial" w:cs="Arial"/>
                <w:b/>
                <w:sz w:val="24"/>
                <w:szCs w:val="24"/>
              </w:rPr>
            </w:pPr>
            <w:r w:rsidRPr="00230A2F">
              <w:rPr>
                <w:rFonts w:ascii="Arial" w:hAnsi="Arial" w:cs="Arial"/>
                <w:b/>
                <w:sz w:val="24"/>
                <w:szCs w:val="24"/>
              </w:rPr>
              <w:t>Signature</w:t>
            </w:r>
          </w:p>
        </w:tc>
        <w:tc>
          <w:tcPr>
            <w:tcW w:w="1000" w:type="pct"/>
            <w:shd w:val="clear" w:color="auto" w:fill="D9D9D9" w:themeFill="background1" w:themeFillShade="D9"/>
            <w:vAlign w:val="center"/>
          </w:tcPr>
          <w:p w14:paraId="3D7BFEB3" w14:textId="77777777" w:rsidR="00291CBB" w:rsidRPr="00230A2F" w:rsidRDefault="00291CBB" w:rsidP="00475198">
            <w:pPr>
              <w:rPr>
                <w:rFonts w:ascii="Arial" w:hAnsi="Arial" w:cs="Arial"/>
                <w:b/>
                <w:sz w:val="24"/>
                <w:szCs w:val="24"/>
              </w:rPr>
            </w:pPr>
            <w:r w:rsidRPr="00230A2F">
              <w:rPr>
                <w:rFonts w:ascii="Arial" w:hAnsi="Arial" w:cs="Arial"/>
                <w:b/>
                <w:sz w:val="24"/>
                <w:szCs w:val="24"/>
              </w:rPr>
              <w:t>Date</w:t>
            </w:r>
          </w:p>
        </w:tc>
      </w:tr>
      <w:tr w:rsidR="00291CBB" w:rsidRPr="00230A2F" w14:paraId="22F2BAE3" w14:textId="77777777" w:rsidTr="00A346B5">
        <w:trPr>
          <w:trHeight w:val="720"/>
        </w:trPr>
        <w:tc>
          <w:tcPr>
            <w:tcW w:w="1286" w:type="pct"/>
          </w:tcPr>
          <w:p w14:paraId="2C98DBFF" w14:textId="77777777" w:rsidR="00291CBB" w:rsidRPr="00230A2F" w:rsidRDefault="00291CBB" w:rsidP="00475198">
            <w:pPr>
              <w:pStyle w:val="Heading6"/>
              <w:spacing w:before="0" w:after="0"/>
              <w:jc w:val="left"/>
              <w:rPr>
                <w:rFonts w:ascii="Arial" w:hAnsi="Arial" w:cs="Arial"/>
                <w:i w:val="0"/>
                <w:sz w:val="24"/>
                <w:szCs w:val="24"/>
              </w:rPr>
            </w:pPr>
          </w:p>
          <w:p w14:paraId="7F3C9E93" w14:textId="77777777" w:rsidR="00291CBB" w:rsidRPr="00230A2F" w:rsidRDefault="00291CBB" w:rsidP="00475198">
            <w:pPr>
              <w:pStyle w:val="Heading6"/>
              <w:spacing w:before="0" w:after="0"/>
              <w:jc w:val="left"/>
              <w:rPr>
                <w:rFonts w:ascii="Arial" w:hAnsi="Arial" w:cs="Arial"/>
                <w:i w:val="0"/>
                <w:sz w:val="24"/>
                <w:szCs w:val="24"/>
              </w:rPr>
            </w:pPr>
            <w:r w:rsidRPr="00230A2F">
              <w:rPr>
                <w:rFonts w:ascii="Arial" w:hAnsi="Arial" w:cs="Arial"/>
                <w:i w:val="0"/>
                <w:sz w:val="24"/>
                <w:szCs w:val="24"/>
              </w:rPr>
              <w:t>Pharmacist</w:t>
            </w:r>
          </w:p>
          <w:p w14:paraId="539C5E8B" w14:textId="77777777" w:rsidR="00291CBB" w:rsidRPr="00230A2F" w:rsidRDefault="00291CBB" w:rsidP="00475198">
            <w:pPr>
              <w:rPr>
                <w:rFonts w:ascii="Arial" w:hAnsi="Arial" w:cs="Arial"/>
                <w:sz w:val="24"/>
                <w:szCs w:val="24"/>
              </w:rPr>
            </w:pPr>
          </w:p>
        </w:tc>
        <w:tc>
          <w:tcPr>
            <w:tcW w:w="1643" w:type="pct"/>
            <w:vAlign w:val="center"/>
          </w:tcPr>
          <w:p w14:paraId="30E3DF20" w14:textId="71764B7F" w:rsidR="00291CBB" w:rsidRPr="00230A2F" w:rsidRDefault="00291CBB" w:rsidP="00475198">
            <w:pPr>
              <w:spacing w:after="0" w:line="240" w:lineRule="auto"/>
              <w:rPr>
                <w:rFonts w:ascii="Arial" w:hAnsi="Arial" w:cs="Arial"/>
                <w:sz w:val="24"/>
                <w:szCs w:val="24"/>
              </w:rPr>
            </w:pPr>
            <w:r w:rsidRPr="00230A2F">
              <w:rPr>
                <w:rFonts w:ascii="Arial" w:hAnsi="Arial" w:cs="Arial"/>
                <w:sz w:val="24"/>
                <w:szCs w:val="24"/>
              </w:rPr>
              <w:t xml:space="preserve">NHS Gloucestershire </w:t>
            </w:r>
            <w:r w:rsidR="00082510" w:rsidRPr="00230A2F">
              <w:rPr>
                <w:rFonts w:ascii="Arial" w:hAnsi="Arial" w:cs="Arial"/>
                <w:sz w:val="24"/>
                <w:szCs w:val="24"/>
              </w:rPr>
              <w:t xml:space="preserve">interim </w:t>
            </w:r>
            <w:r w:rsidRPr="00230A2F">
              <w:rPr>
                <w:rFonts w:ascii="Arial" w:hAnsi="Arial" w:cs="Arial"/>
                <w:sz w:val="24"/>
                <w:szCs w:val="24"/>
              </w:rPr>
              <w:t xml:space="preserve">Chief Pharmacist </w:t>
            </w:r>
            <w:r w:rsidR="00082510" w:rsidRPr="00230A2F">
              <w:rPr>
                <w:rFonts w:ascii="Arial" w:hAnsi="Arial" w:cs="Arial"/>
                <w:sz w:val="24"/>
                <w:szCs w:val="24"/>
              </w:rPr>
              <w:t>&amp; Director of Medicines Optimisation (BNSSG ICB)</w:t>
            </w:r>
          </w:p>
          <w:p w14:paraId="30F3A64B" w14:textId="77FD801A" w:rsidR="00291CBB" w:rsidRPr="00230A2F" w:rsidRDefault="00291CBB" w:rsidP="00475198">
            <w:pPr>
              <w:spacing w:after="0" w:line="240" w:lineRule="auto"/>
              <w:rPr>
                <w:rFonts w:ascii="Arial" w:hAnsi="Arial" w:cs="Arial"/>
                <w:sz w:val="24"/>
                <w:szCs w:val="24"/>
              </w:rPr>
            </w:pPr>
            <w:r w:rsidRPr="00230A2F">
              <w:rPr>
                <w:rFonts w:ascii="Arial" w:hAnsi="Arial" w:cs="Arial"/>
                <w:sz w:val="24"/>
                <w:szCs w:val="24"/>
              </w:rPr>
              <w:t xml:space="preserve">                                                   </w:t>
            </w:r>
            <w:r w:rsidR="00082510" w:rsidRPr="00230A2F">
              <w:rPr>
                <w:rFonts w:ascii="Arial" w:hAnsi="Arial" w:cs="Arial"/>
                <w:sz w:val="24"/>
                <w:szCs w:val="24"/>
              </w:rPr>
              <w:t>Debbie Campbell</w:t>
            </w:r>
          </w:p>
          <w:p w14:paraId="0E3F52A8" w14:textId="77777777" w:rsidR="00291CBB" w:rsidRPr="00230A2F" w:rsidRDefault="00291CBB" w:rsidP="00475198">
            <w:pPr>
              <w:spacing w:after="0" w:line="240" w:lineRule="auto"/>
              <w:rPr>
                <w:rFonts w:ascii="Arial" w:hAnsi="Arial" w:cs="Arial"/>
                <w:sz w:val="24"/>
                <w:szCs w:val="24"/>
              </w:rPr>
            </w:pPr>
          </w:p>
        </w:tc>
        <w:tc>
          <w:tcPr>
            <w:tcW w:w="1071" w:type="pct"/>
          </w:tcPr>
          <w:p w14:paraId="2E52AE7B" w14:textId="77777777" w:rsidR="00291CBB" w:rsidRPr="00230A2F" w:rsidRDefault="00291CBB" w:rsidP="00475198">
            <w:pPr>
              <w:ind w:left="-108"/>
              <w:rPr>
                <w:rFonts w:ascii="Arial" w:hAnsi="Arial" w:cs="Arial"/>
                <w:sz w:val="24"/>
                <w:szCs w:val="24"/>
              </w:rPr>
            </w:pPr>
          </w:p>
          <w:p w14:paraId="34FC680C" w14:textId="4597A8A3" w:rsidR="00291CBB" w:rsidRPr="00230A2F" w:rsidRDefault="00EE715C" w:rsidP="00475198">
            <w:pPr>
              <w:ind w:left="-108"/>
              <w:rPr>
                <w:rFonts w:ascii="Arial" w:hAnsi="Arial" w:cs="Arial"/>
                <w:i/>
                <w:sz w:val="24"/>
                <w:szCs w:val="24"/>
              </w:rPr>
            </w:pPr>
            <w:r>
              <w:rPr>
                <w:noProof/>
                <w:lang w:eastAsia="en-GB"/>
              </w:rPr>
              <w:drawing>
                <wp:inline distT="0" distB="0" distL="0" distR="0" wp14:anchorId="662D40D1" wp14:editId="711C7654">
                  <wp:extent cx="1612900" cy="502085"/>
                  <wp:effectExtent l="0" t="0" r="6350" b="0"/>
                  <wp:docPr id="1" name="Picture 1" descr="Description: D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 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30632" cy="507605"/>
                          </a:xfrm>
                          <a:prstGeom prst="rect">
                            <a:avLst/>
                          </a:prstGeom>
                          <a:noFill/>
                          <a:ln>
                            <a:noFill/>
                          </a:ln>
                        </pic:spPr>
                      </pic:pic>
                    </a:graphicData>
                  </a:graphic>
                </wp:inline>
              </w:drawing>
            </w:r>
          </w:p>
        </w:tc>
        <w:tc>
          <w:tcPr>
            <w:tcW w:w="1000" w:type="pct"/>
            <w:vAlign w:val="center"/>
          </w:tcPr>
          <w:p w14:paraId="52305326" w14:textId="6AB56CB9" w:rsidR="00291CBB" w:rsidRPr="00230A2F" w:rsidRDefault="00EE715C" w:rsidP="00475198">
            <w:pPr>
              <w:rPr>
                <w:rFonts w:ascii="Arial" w:hAnsi="Arial" w:cs="Arial"/>
                <w:sz w:val="24"/>
                <w:szCs w:val="24"/>
              </w:rPr>
            </w:pPr>
            <w:r>
              <w:rPr>
                <w:rFonts w:ascii="Arial" w:hAnsi="Arial" w:cs="Arial"/>
                <w:sz w:val="24"/>
                <w:szCs w:val="24"/>
              </w:rPr>
              <w:t>30/06/26</w:t>
            </w:r>
          </w:p>
        </w:tc>
      </w:tr>
      <w:tr w:rsidR="00291CBB" w:rsidRPr="00230A2F" w14:paraId="4B5641F8" w14:textId="77777777" w:rsidTr="00A346B5">
        <w:trPr>
          <w:trHeight w:val="621"/>
        </w:trPr>
        <w:tc>
          <w:tcPr>
            <w:tcW w:w="1286" w:type="pct"/>
          </w:tcPr>
          <w:p w14:paraId="54F86763" w14:textId="77777777" w:rsidR="00291CBB" w:rsidRPr="00230A2F" w:rsidRDefault="00291CBB" w:rsidP="00475198">
            <w:pPr>
              <w:pStyle w:val="Heading5"/>
              <w:spacing w:before="0" w:after="0"/>
              <w:rPr>
                <w:rFonts w:ascii="Arial" w:hAnsi="Arial" w:cs="Arial"/>
                <w:i w:val="0"/>
                <w:sz w:val="24"/>
                <w:szCs w:val="24"/>
              </w:rPr>
            </w:pPr>
          </w:p>
          <w:p w14:paraId="58A32165" w14:textId="77777777" w:rsidR="00291CBB" w:rsidRPr="00230A2F" w:rsidRDefault="00291CBB" w:rsidP="00475198">
            <w:pPr>
              <w:pStyle w:val="Heading5"/>
              <w:spacing w:before="0" w:after="0"/>
              <w:rPr>
                <w:rFonts w:ascii="Arial" w:hAnsi="Arial" w:cs="Arial"/>
                <w:i w:val="0"/>
                <w:sz w:val="24"/>
                <w:szCs w:val="24"/>
              </w:rPr>
            </w:pPr>
            <w:r w:rsidRPr="00230A2F">
              <w:rPr>
                <w:rFonts w:ascii="Arial" w:hAnsi="Arial" w:cs="Arial"/>
                <w:i w:val="0"/>
                <w:sz w:val="24"/>
                <w:szCs w:val="24"/>
              </w:rPr>
              <w:t>Doctor</w:t>
            </w:r>
          </w:p>
          <w:p w14:paraId="05451722" w14:textId="77777777" w:rsidR="00291CBB" w:rsidRPr="00230A2F" w:rsidRDefault="00291CBB" w:rsidP="00475198">
            <w:pPr>
              <w:rPr>
                <w:rFonts w:ascii="Arial" w:hAnsi="Arial" w:cs="Arial"/>
                <w:sz w:val="24"/>
                <w:szCs w:val="24"/>
              </w:rPr>
            </w:pPr>
          </w:p>
        </w:tc>
        <w:tc>
          <w:tcPr>
            <w:tcW w:w="1643" w:type="pct"/>
            <w:vAlign w:val="center"/>
          </w:tcPr>
          <w:p w14:paraId="146F2E3E" w14:textId="77777777" w:rsidR="00BA0549" w:rsidRPr="00230A2F" w:rsidRDefault="00291CBB" w:rsidP="00BA0549">
            <w:pPr>
              <w:pStyle w:val="Title"/>
              <w:jc w:val="left"/>
              <w:rPr>
                <w:rFonts w:ascii="Arial" w:hAnsi="Arial" w:cs="Arial"/>
                <w:b w:val="0"/>
                <w:bCs/>
                <w:szCs w:val="24"/>
              </w:rPr>
            </w:pPr>
            <w:r w:rsidRPr="00230A2F">
              <w:rPr>
                <w:rFonts w:ascii="Arial" w:hAnsi="Arial" w:cs="Arial"/>
                <w:b w:val="0"/>
                <w:bCs/>
                <w:szCs w:val="24"/>
              </w:rPr>
              <w:t xml:space="preserve">NHS Gloucestershire </w:t>
            </w:r>
            <w:r w:rsidR="00BA0549" w:rsidRPr="00230A2F">
              <w:rPr>
                <w:rFonts w:ascii="Arial" w:hAnsi="Arial" w:cs="Arial"/>
                <w:b w:val="0"/>
                <w:bCs/>
                <w:szCs w:val="24"/>
              </w:rPr>
              <w:t xml:space="preserve">Chief Clinical Leadership and Delivery Officer (Medical) </w:t>
            </w:r>
          </w:p>
          <w:p w14:paraId="469514FF" w14:textId="084DB175" w:rsidR="00291CBB" w:rsidRPr="00230A2F" w:rsidRDefault="00291CBB" w:rsidP="00475198">
            <w:pPr>
              <w:spacing w:after="0" w:line="240" w:lineRule="auto"/>
              <w:rPr>
                <w:rFonts w:ascii="Arial" w:hAnsi="Arial" w:cs="Arial"/>
                <w:sz w:val="24"/>
                <w:szCs w:val="24"/>
              </w:rPr>
            </w:pPr>
          </w:p>
          <w:p w14:paraId="60534377" w14:textId="699274DA" w:rsidR="00291CBB" w:rsidRPr="00230A2F" w:rsidRDefault="00291CBB" w:rsidP="00475198">
            <w:pPr>
              <w:spacing w:after="0" w:line="240" w:lineRule="auto"/>
              <w:rPr>
                <w:rFonts w:ascii="Arial" w:hAnsi="Arial" w:cs="Arial"/>
                <w:sz w:val="24"/>
                <w:szCs w:val="24"/>
              </w:rPr>
            </w:pPr>
            <w:r w:rsidRPr="00230A2F">
              <w:rPr>
                <w:rFonts w:ascii="Arial" w:hAnsi="Arial" w:cs="Arial"/>
                <w:sz w:val="24"/>
                <w:szCs w:val="24"/>
              </w:rPr>
              <w:t xml:space="preserve">                                                          </w:t>
            </w:r>
            <w:r w:rsidR="00D56368" w:rsidRPr="00230A2F">
              <w:rPr>
                <w:rFonts w:ascii="Arial" w:hAnsi="Arial" w:cs="Arial"/>
                <w:sz w:val="24"/>
                <w:szCs w:val="24"/>
              </w:rPr>
              <w:t>Dr Anathakrishnan Raghuram MBE</w:t>
            </w:r>
          </w:p>
          <w:p w14:paraId="75501B59" w14:textId="77777777" w:rsidR="00291CBB" w:rsidRPr="00230A2F" w:rsidRDefault="00291CBB" w:rsidP="00475198">
            <w:pPr>
              <w:spacing w:after="0" w:line="240" w:lineRule="auto"/>
              <w:rPr>
                <w:rFonts w:ascii="Arial" w:hAnsi="Arial" w:cs="Arial"/>
                <w:sz w:val="24"/>
                <w:szCs w:val="24"/>
              </w:rPr>
            </w:pPr>
          </w:p>
        </w:tc>
        <w:tc>
          <w:tcPr>
            <w:tcW w:w="1071" w:type="pct"/>
          </w:tcPr>
          <w:p w14:paraId="1D360D7C" w14:textId="77777777" w:rsidR="00291CBB" w:rsidRPr="00230A2F" w:rsidRDefault="00291CBB" w:rsidP="00475198">
            <w:pPr>
              <w:rPr>
                <w:rFonts w:ascii="Arial" w:hAnsi="Arial" w:cs="Arial"/>
                <w:i/>
                <w:sz w:val="24"/>
                <w:szCs w:val="24"/>
              </w:rPr>
            </w:pPr>
          </w:p>
          <w:p w14:paraId="3DB0141B" w14:textId="77777777" w:rsidR="00291CBB" w:rsidRPr="00230A2F" w:rsidRDefault="00291CBB" w:rsidP="00475198">
            <w:pPr>
              <w:rPr>
                <w:rFonts w:ascii="Arial" w:hAnsi="Arial" w:cs="Arial"/>
                <w:i/>
                <w:sz w:val="24"/>
                <w:szCs w:val="24"/>
              </w:rPr>
            </w:pPr>
          </w:p>
        </w:tc>
        <w:tc>
          <w:tcPr>
            <w:tcW w:w="1000" w:type="pct"/>
            <w:vAlign w:val="center"/>
          </w:tcPr>
          <w:p w14:paraId="27002348" w14:textId="77777777" w:rsidR="00291CBB" w:rsidRPr="00230A2F" w:rsidRDefault="00291CBB" w:rsidP="00475198">
            <w:pPr>
              <w:rPr>
                <w:rFonts w:ascii="Arial" w:hAnsi="Arial" w:cs="Arial"/>
                <w:sz w:val="24"/>
                <w:szCs w:val="24"/>
              </w:rPr>
            </w:pPr>
          </w:p>
        </w:tc>
      </w:tr>
      <w:bookmarkEnd w:id="1"/>
    </w:tbl>
    <w:p w14:paraId="2D1FFAD3" w14:textId="77777777" w:rsidR="00787635" w:rsidRDefault="00787635" w:rsidP="00194286">
      <w:pPr>
        <w:rPr>
          <w:rFonts w:ascii="Arial" w:hAnsi="Arial" w:cs="Arial"/>
        </w:rPr>
      </w:pPr>
    </w:p>
    <w:p w14:paraId="268CBDC6" w14:textId="502EC3F2" w:rsidR="00194286" w:rsidRPr="00230A2F" w:rsidRDefault="00194286" w:rsidP="00194286">
      <w:pPr>
        <w:rPr>
          <w:rFonts w:ascii="Arial" w:hAnsi="Arial" w:cs="Arial"/>
          <w:sz w:val="24"/>
          <w:szCs w:val="24"/>
        </w:rPr>
      </w:pPr>
      <w:r w:rsidRPr="00230A2F">
        <w:rPr>
          <w:rFonts w:ascii="Arial" w:hAnsi="Arial" w:cs="Arial"/>
          <w:sz w:val="24"/>
          <w:szCs w:val="24"/>
        </w:rPr>
        <w:t>This document has been written and authorised on the understanding that it remains in its entirety with no additions, omissions or alterations.</w:t>
      </w:r>
    </w:p>
    <w:p w14:paraId="3AC43AAE" w14:textId="5811D4E2" w:rsidR="001E22E5" w:rsidRPr="00230A2F" w:rsidRDefault="00194286" w:rsidP="00787635">
      <w:pPr>
        <w:jc w:val="both"/>
        <w:rPr>
          <w:rFonts w:ascii="Arial" w:hAnsi="Arial" w:cs="Arial"/>
          <w:sz w:val="24"/>
          <w:szCs w:val="24"/>
        </w:rPr>
      </w:pPr>
      <w:r w:rsidRPr="00230A2F">
        <w:rPr>
          <w:rFonts w:ascii="Arial" w:hAnsi="Arial" w:cs="Arial"/>
          <w:bCs/>
          <w:sz w:val="24"/>
          <w:szCs w:val="24"/>
        </w:rPr>
        <w:t>All information contained within this document was correct at the time of going to press. It is acknowledged that systems and processes change over time and that new drugs may be introduced. As licences vary, if a new brand is introduced it will not necessarily be covered within its corresponding PGD. If there are changes to practice, or the need for more PGDs to be developed, please contact the Head of Medicine Management at NHS Gloucestershire</w:t>
      </w:r>
      <w:r w:rsidR="000F2802" w:rsidRPr="00230A2F">
        <w:rPr>
          <w:rFonts w:ascii="Arial" w:hAnsi="Arial" w:cs="Arial"/>
          <w:bCs/>
          <w:sz w:val="24"/>
          <w:szCs w:val="24"/>
        </w:rPr>
        <w:t>.</w:t>
      </w:r>
    </w:p>
    <w:p w14:paraId="1233C6E4" w14:textId="635C70B5" w:rsidR="00194286" w:rsidRPr="00230A2F" w:rsidRDefault="00194286" w:rsidP="00194286">
      <w:pPr>
        <w:rPr>
          <w:rFonts w:ascii="Arial" w:hAnsi="Arial" w:cs="Arial"/>
          <w:sz w:val="24"/>
          <w:szCs w:val="24"/>
        </w:rPr>
      </w:pPr>
      <w:r w:rsidRPr="00230A2F">
        <w:rPr>
          <w:rFonts w:ascii="Arial" w:hAnsi="Arial" w:cs="Arial"/>
          <w:sz w:val="24"/>
          <w:szCs w:val="24"/>
        </w:rPr>
        <w:t xml:space="preserve">This PGD has been peer reviewed by the </w:t>
      </w:r>
      <w:r w:rsidR="000F2802" w:rsidRPr="00230A2F">
        <w:rPr>
          <w:rFonts w:ascii="Arial" w:hAnsi="Arial" w:cs="Arial"/>
          <w:sz w:val="24"/>
          <w:szCs w:val="24"/>
        </w:rPr>
        <w:t>NHS Gloucestershire</w:t>
      </w:r>
      <w:r w:rsidRPr="00230A2F">
        <w:rPr>
          <w:rFonts w:ascii="Arial" w:hAnsi="Arial" w:cs="Arial"/>
          <w:sz w:val="24"/>
          <w:szCs w:val="24"/>
        </w:rPr>
        <w:t xml:space="preserve"> PGD </w:t>
      </w:r>
      <w:r w:rsidR="001E22E5" w:rsidRPr="00230A2F">
        <w:rPr>
          <w:rFonts w:ascii="Arial" w:hAnsi="Arial" w:cs="Arial"/>
          <w:sz w:val="24"/>
          <w:szCs w:val="24"/>
        </w:rPr>
        <w:t>w</w:t>
      </w:r>
      <w:r w:rsidRPr="00230A2F">
        <w:rPr>
          <w:rFonts w:ascii="Arial" w:hAnsi="Arial" w:cs="Arial"/>
          <w:sz w:val="24"/>
          <w:szCs w:val="24"/>
        </w:rPr>
        <w:t>orking Group</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1E22E5" w:rsidRPr="00230A2F" w14:paraId="05F425B0" w14:textId="77777777" w:rsidTr="00A346B5">
        <w:trPr>
          <w:trHeight w:val="254"/>
        </w:trPr>
        <w:tc>
          <w:tcPr>
            <w:tcW w:w="1286" w:type="pct"/>
            <w:shd w:val="clear" w:color="auto" w:fill="D9D9D9" w:themeFill="background1" w:themeFillShade="D9"/>
            <w:vAlign w:val="center"/>
          </w:tcPr>
          <w:p w14:paraId="6761D631" w14:textId="77777777" w:rsidR="00194286" w:rsidRPr="00230A2F" w:rsidRDefault="00194286" w:rsidP="00194286">
            <w:pPr>
              <w:rPr>
                <w:rFonts w:ascii="Arial" w:hAnsi="Arial" w:cs="Arial"/>
                <w:b/>
                <w:sz w:val="24"/>
                <w:szCs w:val="28"/>
              </w:rPr>
            </w:pPr>
            <w:r w:rsidRPr="00230A2F">
              <w:rPr>
                <w:rFonts w:ascii="Arial" w:hAnsi="Arial" w:cs="Arial"/>
                <w:b/>
                <w:sz w:val="24"/>
                <w:szCs w:val="28"/>
              </w:rPr>
              <w:t>Name</w:t>
            </w:r>
          </w:p>
        </w:tc>
        <w:tc>
          <w:tcPr>
            <w:tcW w:w="3714" w:type="pct"/>
            <w:shd w:val="clear" w:color="auto" w:fill="D9D9D9" w:themeFill="background1" w:themeFillShade="D9"/>
            <w:vAlign w:val="center"/>
          </w:tcPr>
          <w:p w14:paraId="2F630CF0" w14:textId="77777777" w:rsidR="00194286" w:rsidRPr="00230A2F" w:rsidRDefault="00194286" w:rsidP="00194286">
            <w:pPr>
              <w:rPr>
                <w:rFonts w:ascii="Arial" w:hAnsi="Arial" w:cs="Arial"/>
                <w:b/>
                <w:sz w:val="24"/>
                <w:szCs w:val="28"/>
              </w:rPr>
            </w:pPr>
            <w:r w:rsidRPr="00230A2F">
              <w:rPr>
                <w:rFonts w:ascii="Arial" w:hAnsi="Arial" w:cs="Arial"/>
                <w:b/>
                <w:sz w:val="24"/>
                <w:szCs w:val="28"/>
              </w:rPr>
              <w:t>Designation</w:t>
            </w:r>
          </w:p>
        </w:tc>
      </w:tr>
      <w:tr w:rsidR="00B73482" w:rsidRPr="00230A2F" w14:paraId="55A80F98" w14:textId="77777777" w:rsidTr="00A346B5">
        <w:trPr>
          <w:trHeight w:val="267"/>
        </w:trPr>
        <w:tc>
          <w:tcPr>
            <w:tcW w:w="1286" w:type="pct"/>
            <w:tcBorders>
              <w:top w:val="single" w:sz="4" w:space="0" w:color="auto"/>
              <w:left w:val="single" w:sz="4" w:space="0" w:color="auto"/>
              <w:bottom w:val="single" w:sz="4" w:space="0" w:color="auto"/>
              <w:right w:val="single" w:sz="4" w:space="0" w:color="auto"/>
            </w:tcBorders>
          </w:tcPr>
          <w:p w14:paraId="127F67A0" w14:textId="7DBDDA9F" w:rsidR="00B73482" w:rsidRPr="00230A2F" w:rsidRDefault="00B73482" w:rsidP="00787635">
            <w:pPr>
              <w:spacing w:after="0" w:line="240" w:lineRule="auto"/>
              <w:rPr>
                <w:rFonts w:ascii="Arial" w:hAnsi="Arial" w:cs="Arial"/>
                <w:sz w:val="24"/>
                <w:szCs w:val="28"/>
              </w:rPr>
            </w:pPr>
            <w:r>
              <w:rPr>
                <w:rFonts w:ascii="Arial" w:hAnsi="Arial" w:cs="Arial"/>
                <w:sz w:val="24"/>
                <w:szCs w:val="28"/>
              </w:rPr>
              <w:t>Chelcie Evans</w:t>
            </w:r>
          </w:p>
        </w:tc>
        <w:tc>
          <w:tcPr>
            <w:tcW w:w="3714" w:type="pct"/>
            <w:tcBorders>
              <w:top w:val="single" w:sz="4" w:space="0" w:color="auto"/>
              <w:left w:val="single" w:sz="4" w:space="0" w:color="auto"/>
              <w:bottom w:val="single" w:sz="4" w:space="0" w:color="auto"/>
              <w:right w:val="single" w:sz="4" w:space="0" w:color="auto"/>
            </w:tcBorders>
          </w:tcPr>
          <w:p w14:paraId="3CB70E30" w14:textId="240C57AB" w:rsidR="00B73482" w:rsidRPr="00230A2F" w:rsidRDefault="00B73482" w:rsidP="00787635">
            <w:pPr>
              <w:spacing w:after="0" w:line="240" w:lineRule="auto"/>
              <w:rPr>
                <w:rFonts w:ascii="Arial" w:hAnsi="Arial" w:cs="Arial"/>
                <w:sz w:val="24"/>
                <w:szCs w:val="28"/>
              </w:rPr>
            </w:pPr>
            <w:r>
              <w:rPr>
                <w:rFonts w:ascii="Arial" w:hAnsi="Arial" w:cs="Arial"/>
                <w:sz w:val="24"/>
                <w:szCs w:val="28"/>
              </w:rPr>
              <w:t xml:space="preserve">NHS Gloucestershire Medicines Optimisation Pharmacist </w:t>
            </w:r>
          </w:p>
        </w:tc>
      </w:tr>
      <w:tr w:rsidR="00B73482" w:rsidRPr="00230A2F" w14:paraId="32FFBE09" w14:textId="77777777" w:rsidTr="00A346B5">
        <w:trPr>
          <w:trHeight w:val="267"/>
        </w:trPr>
        <w:tc>
          <w:tcPr>
            <w:tcW w:w="1286" w:type="pct"/>
            <w:tcBorders>
              <w:top w:val="single" w:sz="4" w:space="0" w:color="auto"/>
              <w:bottom w:val="single" w:sz="4" w:space="0" w:color="auto"/>
            </w:tcBorders>
          </w:tcPr>
          <w:p w14:paraId="43D7E70F" w14:textId="47064C2A" w:rsidR="00B73482" w:rsidRDefault="00B73482" w:rsidP="00787635">
            <w:pPr>
              <w:spacing w:after="0" w:line="240" w:lineRule="auto"/>
              <w:rPr>
                <w:rFonts w:ascii="Arial" w:hAnsi="Arial" w:cs="Arial"/>
                <w:sz w:val="24"/>
                <w:szCs w:val="28"/>
              </w:rPr>
            </w:pPr>
            <w:r>
              <w:rPr>
                <w:rFonts w:ascii="Arial" w:hAnsi="Arial" w:cs="Arial"/>
                <w:sz w:val="24"/>
                <w:szCs w:val="28"/>
              </w:rPr>
              <w:t>Sian Williams</w:t>
            </w:r>
          </w:p>
        </w:tc>
        <w:tc>
          <w:tcPr>
            <w:tcW w:w="3714" w:type="pct"/>
            <w:tcBorders>
              <w:top w:val="single" w:sz="4" w:space="0" w:color="auto"/>
              <w:bottom w:val="single" w:sz="4" w:space="0" w:color="auto"/>
            </w:tcBorders>
          </w:tcPr>
          <w:p w14:paraId="4CC815F9" w14:textId="158853CC" w:rsidR="00B73482" w:rsidRDefault="00B73482" w:rsidP="00787635">
            <w:pPr>
              <w:spacing w:after="0" w:line="240" w:lineRule="auto"/>
              <w:rPr>
                <w:rFonts w:ascii="Arial" w:hAnsi="Arial" w:cs="Arial"/>
                <w:sz w:val="24"/>
                <w:szCs w:val="28"/>
              </w:rPr>
            </w:pPr>
            <w:r>
              <w:rPr>
                <w:rFonts w:ascii="Arial" w:hAnsi="Arial" w:cs="Arial"/>
                <w:sz w:val="24"/>
                <w:szCs w:val="28"/>
              </w:rPr>
              <w:t>NHS Gloucestershire ICB Clinical Lead – Community Pharmacy Integration Pharmacist</w:t>
            </w:r>
          </w:p>
        </w:tc>
      </w:tr>
    </w:tbl>
    <w:p w14:paraId="4718ED77" w14:textId="55A84362" w:rsidR="00B30FD8" w:rsidRDefault="00B30FD8"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Cs w:val="24"/>
        </w:rPr>
      </w:pPr>
    </w:p>
    <w:p w14:paraId="7ECF5A4F" w14:textId="77777777" w:rsidR="0087398C" w:rsidRDefault="0087398C"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Cs w:val="24"/>
        </w:rPr>
      </w:pPr>
    </w:p>
    <w:p w14:paraId="6C0E3C22" w14:textId="77777777" w:rsidR="0087398C" w:rsidRDefault="0087398C" w:rsidP="00B30FD8">
      <w:pPr>
        <w:pStyle w:val="Heade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b/>
          <w:szCs w:val="24"/>
        </w:rPr>
      </w:pPr>
    </w:p>
    <w:p w14:paraId="5289351A" w14:textId="225ACE5E" w:rsidR="00194286" w:rsidRPr="00230A2F" w:rsidRDefault="00194286"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textAlignment w:val="baseline"/>
        <w:rPr>
          <w:rFonts w:ascii="Arial" w:hAnsi="Arial" w:cs="Arial"/>
          <w:i/>
          <w:sz w:val="24"/>
          <w:szCs w:val="24"/>
        </w:rPr>
      </w:pPr>
      <w:r w:rsidRPr="00230A2F">
        <w:rPr>
          <w:rFonts w:ascii="Arial" w:hAnsi="Arial" w:cs="Arial"/>
          <w:b/>
          <w:sz w:val="24"/>
          <w:szCs w:val="28"/>
        </w:rPr>
        <w:t>Organisational authorisations</w:t>
      </w:r>
      <w:r w:rsidRPr="00230A2F">
        <w:rPr>
          <w:rFonts w:ascii="Arial" w:hAnsi="Arial" w:cs="Arial"/>
          <w:i/>
          <w:sz w:val="24"/>
          <w:szCs w:val="28"/>
        </w:rPr>
        <w:t xml:space="preserve"> </w:t>
      </w:r>
    </w:p>
    <w:p w14:paraId="74C6FB7C" w14:textId="3F18D839" w:rsidR="00194286" w:rsidRPr="00230A2F" w:rsidRDefault="002E3E1B" w:rsidP="002E3E1B">
      <w:pPr>
        <w:pStyle w:val="Title"/>
        <w:tabs>
          <w:tab w:val="left" w:pos="1950"/>
        </w:tabs>
        <w:jc w:val="left"/>
        <w:rPr>
          <w:rStyle w:val="yiv436687422763514114-05042013"/>
          <w:rFonts w:ascii="Arial" w:hAnsi="Arial" w:cs="Arial"/>
          <w:b w:val="0"/>
          <w:sz w:val="28"/>
          <w:szCs w:val="28"/>
          <w:lang w:eastAsia="en-GB"/>
        </w:rPr>
      </w:pPr>
      <w:r w:rsidRPr="00230A2F">
        <w:rPr>
          <w:rStyle w:val="yiv436687422763514114-05042013"/>
          <w:rFonts w:ascii="Arial" w:hAnsi="Arial" w:cs="Arial"/>
          <w:b w:val="0"/>
          <w:sz w:val="28"/>
          <w:szCs w:val="28"/>
          <w:lang w:eastAsia="en-GB"/>
        </w:rPr>
        <w:tab/>
      </w:r>
    </w:p>
    <w:p w14:paraId="10AACA79" w14:textId="77777777" w:rsidR="00194286" w:rsidRPr="00230A2F" w:rsidRDefault="00194286" w:rsidP="00194286">
      <w:pPr>
        <w:ind w:right="423"/>
        <w:jc w:val="both"/>
        <w:rPr>
          <w:rFonts w:ascii="Arial" w:hAnsi="Arial" w:cs="Arial"/>
          <w:sz w:val="24"/>
          <w:szCs w:val="24"/>
        </w:rPr>
      </w:pPr>
      <w:r w:rsidRPr="00230A2F">
        <w:rPr>
          <w:rFonts w:ascii="Arial" w:hAnsi="Arial" w:cs="Arial"/>
          <w:sz w:val="24"/>
          <w:szCs w:val="24"/>
        </w:rPr>
        <w:lastRenderedPageBreak/>
        <w:t>This PGD is not legally valid until it has had the relevant organisational authorisation.</w:t>
      </w:r>
    </w:p>
    <w:p w14:paraId="03263257" w14:textId="77777777" w:rsidR="00194286" w:rsidRPr="00230A2F" w:rsidRDefault="00194286" w:rsidP="00194286">
      <w:pPr>
        <w:ind w:right="423"/>
        <w:jc w:val="both"/>
        <w:rPr>
          <w:rStyle w:val="yiv436687422763514114-05042013"/>
          <w:rFonts w:ascii="Arial" w:hAnsi="Arial" w:cs="Arial"/>
          <w:sz w:val="24"/>
          <w:szCs w:val="24"/>
        </w:rPr>
      </w:pPr>
      <w:r w:rsidRPr="00230A2F">
        <w:rPr>
          <w:rFonts w:ascii="Arial" w:hAnsi="Arial" w:cs="Arial"/>
          <w:sz w:val="24"/>
          <w:szCs w:val="24"/>
        </w:rPr>
        <w:t xml:space="preserve">It is the responsibility of the organisation that has legal authority to authorise the PGD, to ensure that all legal and governance requirements are met. The authorising body accepts governance responsibility for the appropriate use of the PGD. The signatories above authorise this PGD as outlined below. </w:t>
      </w:r>
    </w:p>
    <w:tbl>
      <w:tblPr>
        <w:tblStyle w:val="TableGrid"/>
        <w:tblW w:w="0" w:type="auto"/>
        <w:tblInd w:w="108" w:type="dxa"/>
        <w:tblLook w:val="04A0" w:firstRow="1" w:lastRow="0" w:firstColumn="1" w:lastColumn="0" w:noHBand="0" w:noVBand="1"/>
      </w:tblPr>
      <w:tblGrid>
        <w:gridCol w:w="8908"/>
      </w:tblGrid>
      <w:tr w:rsidR="00194286" w:rsidRPr="00230A2F" w14:paraId="41DFE577" w14:textId="77777777" w:rsidTr="00194286">
        <w:tc>
          <w:tcPr>
            <w:tcW w:w="9923" w:type="dxa"/>
            <w:shd w:val="clear" w:color="auto" w:fill="D9D9D9" w:themeFill="background1" w:themeFillShade="D9"/>
          </w:tcPr>
          <w:p w14:paraId="6B65F7CA" w14:textId="77777777" w:rsidR="00194286" w:rsidRPr="00230A2F" w:rsidRDefault="00194286" w:rsidP="00194286">
            <w:pPr>
              <w:pStyle w:val="Title"/>
              <w:jc w:val="left"/>
              <w:rPr>
                <w:rFonts w:ascii="Arial" w:hAnsi="Arial" w:cs="Arial"/>
                <w:sz w:val="28"/>
                <w:szCs w:val="28"/>
              </w:rPr>
            </w:pPr>
            <w:r w:rsidRPr="00230A2F">
              <w:rPr>
                <w:rFonts w:ascii="Arial" w:hAnsi="Arial" w:cs="Arial"/>
                <w:sz w:val="28"/>
                <w:szCs w:val="28"/>
              </w:rPr>
              <w:t>Authorised for use by the following organisation and/or services</w:t>
            </w:r>
          </w:p>
        </w:tc>
      </w:tr>
      <w:tr w:rsidR="00194286" w:rsidRPr="00230A2F" w14:paraId="60EE7C86" w14:textId="77777777" w:rsidTr="00194286">
        <w:tc>
          <w:tcPr>
            <w:tcW w:w="9923" w:type="dxa"/>
          </w:tcPr>
          <w:p w14:paraId="4572D1FC" w14:textId="59A062A3" w:rsidR="005D6B89" w:rsidRPr="00230A2F" w:rsidRDefault="00446EFD" w:rsidP="005C2DE8">
            <w:pPr>
              <w:pStyle w:val="Title"/>
              <w:jc w:val="left"/>
              <w:rPr>
                <w:rFonts w:ascii="Arial" w:hAnsi="Arial" w:cs="Arial"/>
                <w:b w:val="0"/>
                <w:szCs w:val="24"/>
              </w:rPr>
            </w:pPr>
            <w:r w:rsidRPr="00230A2F">
              <w:rPr>
                <w:rFonts w:ascii="Arial" w:hAnsi="Arial" w:cs="Arial"/>
                <w:b w:val="0"/>
                <w:szCs w:val="24"/>
              </w:rPr>
              <w:t xml:space="preserve">Pharmacists working within Community Pharmacy </w:t>
            </w:r>
            <w:r w:rsidR="005C2DE8">
              <w:rPr>
                <w:rFonts w:ascii="Arial" w:hAnsi="Arial" w:cs="Arial"/>
                <w:b w:val="0"/>
                <w:szCs w:val="24"/>
              </w:rPr>
              <w:t xml:space="preserve">PGD service for Minor Ailments </w:t>
            </w:r>
          </w:p>
        </w:tc>
      </w:tr>
      <w:tr w:rsidR="00194286" w:rsidRPr="00230A2F" w14:paraId="0B44C5D6" w14:textId="77777777" w:rsidTr="00194286">
        <w:tc>
          <w:tcPr>
            <w:tcW w:w="9923" w:type="dxa"/>
            <w:shd w:val="clear" w:color="auto" w:fill="D9D9D9" w:themeFill="background1" w:themeFillShade="D9"/>
          </w:tcPr>
          <w:p w14:paraId="382C0190" w14:textId="77777777" w:rsidR="00194286" w:rsidRPr="00230A2F" w:rsidRDefault="00194286" w:rsidP="00194286">
            <w:pPr>
              <w:pStyle w:val="Title"/>
              <w:jc w:val="left"/>
              <w:rPr>
                <w:rFonts w:ascii="Arial" w:hAnsi="Arial" w:cs="Arial"/>
                <w:sz w:val="28"/>
                <w:szCs w:val="28"/>
              </w:rPr>
            </w:pPr>
            <w:r w:rsidRPr="00230A2F">
              <w:rPr>
                <w:rFonts w:ascii="Arial" w:hAnsi="Arial" w:cs="Arial"/>
                <w:sz w:val="28"/>
                <w:szCs w:val="28"/>
              </w:rPr>
              <w:t>Limitations to authorisation</w:t>
            </w:r>
          </w:p>
        </w:tc>
      </w:tr>
      <w:tr w:rsidR="00194286" w:rsidRPr="00230A2F" w14:paraId="38657B42" w14:textId="77777777" w:rsidTr="001E22E5">
        <w:trPr>
          <w:trHeight w:val="381"/>
        </w:trPr>
        <w:tc>
          <w:tcPr>
            <w:tcW w:w="9923" w:type="dxa"/>
          </w:tcPr>
          <w:p w14:paraId="68665205" w14:textId="77777777" w:rsidR="00194286" w:rsidRPr="00230A2F" w:rsidRDefault="00194286" w:rsidP="00194286">
            <w:pPr>
              <w:pStyle w:val="Title"/>
              <w:jc w:val="left"/>
              <w:rPr>
                <w:rFonts w:ascii="Arial" w:hAnsi="Arial" w:cs="Arial"/>
                <w:b w:val="0"/>
                <w:szCs w:val="24"/>
              </w:rPr>
            </w:pPr>
            <w:r w:rsidRPr="00230A2F">
              <w:rPr>
                <w:rFonts w:ascii="Arial" w:hAnsi="Arial" w:cs="Arial"/>
                <w:b w:val="0"/>
                <w:szCs w:val="24"/>
              </w:rPr>
              <w:t>N/A</w:t>
            </w:r>
          </w:p>
        </w:tc>
      </w:tr>
    </w:tbl>
    <w:p w14:paraId="28366CF8" w14:textId="77777777" w:rsidR="00194286" w:rsidRPr="00230A2F" w:rsidRDefault="00194286" w:rsidP="00243E21">
      <w:pPr>
        <w:spacing w:after="0" w:line="240" w:lineRule="auto"/>
        <w:rPr>
          <w:rFonts w:ascii="Arial" w:eastAsia="Times New Roman" w:hAnsi="Arial" w:cs="Times New Roman"/>
        </w:rPr>
      </w:pPr>
      <w:bookmarkStart w:id="2" w:name="_Hlk93502127"/>
    </w:p>
    <w:p w14:paraId="20B79BED" w14:textId="711F008B" w:rsidR="00BD2B8C" w:rsidRPr="00230A2F" w:rsidRDefault="00BD2B8C" w:rsidP="00BD2B8C">
      <w:pPr>
        <w:rPr>
          <w:rStyle w:val="Hyperlink"/>
          <w:rFonts w:ascii="Arial" w:hAnsi="Arial" w:cs="Arial"/>
          <w:sz w:val="24"/>
          <w:szCs w:val="24"/>
        </w:rPr>
      </w:pPr>
      <w:bookmarkStart w:id="3" w:name="_Hlk109747176"/>
      <w:r w:rsidRPr="00230A2F">
        <w:rPr>
          <w:rFonts w:ascii="Arial" w:hAnsi="Arial" w:cs="Arial"/>
          <w:color w:val="000000"/>
          <w:sz w:val="24"/>
          <w:szCs w:val="24"/>
        </w:rPr>
        <w:t>Any concerns regarding the content of this PGD should be addressed to:</w:t>
      </w:r>
      <w:r w:rsidRPr="00230A2F">
        <w:rPr>
          <w:rFonts w:ascii="Arial" w:hAnsi="Arial" w:cs="Arial"/>
          <w:sz w:val="24"/>
          <w:szCs w:val="24"/>
        </w:rPr>
        <w:t xml:space="preserve"> </w:t>
      </w:r>
      <w:hyperlink r:id="rId11" w:history="1">
        <w:r w:rsidR="00E01C71" w:rsidRPr="00230A2F">
          <w:rPr>
            <w:rStyle w:val="Hyperlink"/>
            <w:rFonts w:ascii="Arial" w:hAnsi="Arial" w:cs="Arial"/>
            <w:sz w:val="24"/>
            <w:szCs w:val="24"/>
          </w:rPr>
          <w:t>glicb.medicines@nhs.net</w:t>
        </w:r>
      </w:hyperlink>
    </w:p>
    <w:p w14:paraId="71EE69D2" w14:textId="77777777" w:rsidR="00BD2B8C" w:rsidRPr="00230A2F" w:rsidRDefault="00BD2B8C" w:rsidP="00BD2B8C">
      <w:pPr>
        <w:spacing w:after="0" w:line="240" w:lineRule="auto"/>
        <w:rPr>
          <w:rFonts w:ascii="Arial" w:hAnsi="Arial" w:cs="Arial"/>
          <w:sz w:val="24"/>
          <w:szCs w:val="28"/>
        </w:rPr>
      </w:pPr>
      <w:bookmarkStart w:id="4" w:name="_Hlk109741470"/>
      <w:bookmarkEnd w:id="2"/>
      <w:r w:rsidRPr="00230A2F">
        <w:rPr>
          <w:rFonts w:ascii="Arial" w:hAnsi="Arial" w:cs="Arial"/>
          <w:sz w:val="24"/>
          <w:szCs w:val="28"/>
        </w:rPr>
        <w:t xml:space="preserve">Section 7 provides a registered health professional authorisation sheet.  </w:t>
      </w:r>
    </w:p>
    <w:p w14:paraId="625EA056" w14:textId="77777777" w:rsidR="00BD2B8C" w:rsidRDefault="00BD2B8C" w:rsidP="00BD2B8C">
      <w:pPr>
        <w:spacing w:after="0" w:line="240" w:lineRule="auto"/>
        <w:rPr>
          <w:rFonts w:ascii="Arial" w:hAnsi="Arial" w:cs="Arial"/>
          <w:sz w:val="24"/>
          <w:szCs w:val="28"/>
        </w:rPr>
      </w:pPr>
      <w:r w:rsidRPr="00230A2F">
        <w:rPr>
          <w:rFonts w:ascii="Arial" w:hAnsi="Arial" w:cs="Arial"/>
          <w:sz w:val="24"/>
          <w:szCs w:val="28"/>
        </w:rPr>
        <w:t>Individual professionals must be authorised by name to work to this PGD</w:t>
      </w:r>
      <w:bookmarkEnd w:id="3"/>
      <w:r w:rsidRPr="00230A2F">
        <w:rPr>
          <w:rFonts w:ascii="Arial" w:hAnsi="Arial" w:cs="Arial"/>
          <w:sz w:val="24"/>
          <w:szCs w:val="28"/>
        </w:rPr>
        <w:t>.</w:t>
      </w:r>
    </w:p>
    <w:p w14:paraId="31808F23" w14:textId="77777777" w:rsidR="00230A2F" w:rsidRDefault="00230A2F" w:rsidP="00BD2B8C">
      <w:pPr>
        <w:spacing w:after="0" w:line="240" w:lineRule="auto"/>
        <w:rPr>
          <w:rFonts w:ascii="Arial" w:hAnsi="Arial" w:cs="Arial"/>
          <w:sz w:val="24"/>
          <w:szCs w:val="28"/>
        </w:rPr>
      </w:pPr>
    </w:p>
    <w:p w14:paraId="6637F8D0" w14:textId="318F765A" w:rsidR="00230A2F" w:rsidRDefault="00230A2F" w:rsidP="00BD2B8C">
      <w:pPr>
        <w:spacing w:after="0" w:line="240" w:lineRule="auto"/>
        <w:rPr>
          <w:rFonts w:ascii="Arial" w:hAnsi="Arial" w:cs="Arial"/>
          <w:sz w:val="24"/>
          <w:szCs w:val="28"/>
        </w:rPr>
      </w:pPr>
      <w:r>
        <w:rPr>
          <w:rFonts w:ascii="Arial" w:hAnsi="Arial" w:cs="Arial"/>
          <w:sz w:val="24"/>
          <w:szCs w:val="28"/>
        </w:rPr>
        <w:t>Section 3 starts overleaf.</w:t>
      </w:r>
    </w:p>
    <w:p w14:paraId="38DF4CF6" w14:textId="77777777" w:rsidR="00230A2F" w:rsidRDefault="00230A2F" w:rsidP="00BD2B8C">
      <w:pPr>
        <w:spacing w:after="0" w:line="240" w:lineRule="auto"/>
        <w:rPr>
          <w:rFonts w:ascii="Arial" w:hAnsi="Arial" w:cs="Arial"/>
          <w:sz w:val="24"/>
          <w:szCs w:val="28"/>
        </w:rPr>
      </w:pPr>
    </w:p>
    <w:p w14:paraId="6ED07A98" w14:textId="77777777" w:rsidR="00230A2F" w:rsidRDefault="00230A2F" w:rsidP="00BD2B8C">
      <w:pPr>
        <w:spacing w:after="0" w:line="240" w:lineRule="auto"/>
        <w:rPr>
          <w:rFonts w:ascii="Arial" w:hAnsi="Arial" w:cs="Arial"/>
          <w:sz w:val="24"/>
          <w:szCs w:val="28"/>
        </w:rPr>
      </w:pPr>
    </w:p>
    <w:p w14:paraId="78596321" w14:textId="77777777" w:rsidR="00230A2F" w:rsidRDefault="00230A2F" w:rsidP="00BD2B8C">
      <w:pPr>
        <w:spacing w:after="0" w:line="240" w:lineRule="auto"/>
        <w:rPr>
          <w:rFonts w:ascii="Arial" w:hAnsi="Arial" w:cs="Arial"/>
          <w:sz w:val="24"/>
          <w:szCs w:val="28"/>
        </w:rPr>
      </w:pPr>
    </w:p>
    <w:p w14:paraId="3E8C9E51" w14:textId="77777777" w:rsidR="00230A2F" w:rsidRDefault="00230A2F" w:rsidP="00BD2B8C">
      <w:pPr>
        <w:spacing w:after="0" w:line="240" w:lineRule="auto"/>
        <w:rPr>
          <w:rFonts w:ascii="Arial" w:hAnsi="Arial" w:cs="Arial"/>
          <w:sz w:val="24"/>
          <w:szCs w:val="28"/>
        </w:rPr>
      </w:pPr>
    </w:p>
    <w:p w14:paraId="2AB55263" w14:textId="77777777" w:rsidR="00230A2F" w:rsidRDefault="00230A2F" w:rsidP="00BD2B8C">
      <w:pPr>
        <w:spacing w:after="0" w:line="240" w:lineRule="auto"/>
        <w:rPr>
          <w:rFonts w:ascii="Arial" w:hAnsi="Arial" w:cs="Arial"/>
          <w:sz w:val="24"/>
          <w:szCs w:val="28"/>
        </w:rPr>
      </w:pPr>
    </w:p>
    <w:p w14:paraId="00F52BA8" w14:textId="77777777" w:rsidR="00230A2F" w:rsidRDefault="00230A2F" w:rsidP="00BD2B8C">
      <w:pPr>
        <w:spacing w:after="0" w:line="240" w:lineRule="auto"/>
        <w:rPr>
          <w:rFonts w:ascii="Arial" w:hAnsi="Arial" w:cs="Arial"/>
          <w:sz w:val="24"/>
          <w:szCs w:val="28"/>
        </w:rPr>
      </w:pPr>
    </w:p>
    <w:p w14:paraId="11BBA1B2" w14:textId="77777777" w:rsidR="00230A2F" w:rsidRDefault="00230A2F" w:rsidP="00BD2B8C">
      <w:pPr>
        <w:spacing w:after="0" w:line="240" w:lineRule="auto"/>
        <w:rPr>
          <w:rFonts w:ascii="Arial" w:hAnsi="Arial" w:cs="Arial"/>
          <w:sz w:val="24"/>
          <w:szCs w:val="28"/>
        </w:rPr>
      </w:pPr>
    </w:p>
    <w:p w14:paraId="1A9A269A" w14:textId="77777777" w:rsidR="00230A2F" w:rsidRDefault="00230A2F" w:rsidP="00BD2B8C">
      <w:pPr>
        <w:spacing w:after="0" w:line="240" w:lineRule="auto"/>
        <w:rPr>
          <w:rFonts w:ascii="Arial" w:hAnsi="Arial" w:cs="Arial"/>
          <w:sz w:val="24"/>
          <w:szCs w:val="28"/>
        </w:rPr>
      </w:pPr>
    </w:p>
    <w:p w14:paraId="22325A0A" w14:textId="77777777" w:rsidR="00230A2F" w:rsidRDefault="00230A2F" w:rsidP="00BD2B8C">
      <w:pPr>
        <w:spacing w:after="0" w:line="240" w:lineRule="auto"/>
        <w:rPr>
          <w:rFonts w:ascii="Arial" w:hAnsi="Arial" w:cs="Arial"/>
          <w:sz w:val="24"/>
          <w:szCs w:val="28"/>
        </w:rPr>
      </w:pPr>
    </w:p>
    <w:p w14:paraId="32E9B4C7" w14:textId="77777777" w:rsidR="00230A2F" w:rsidRDefault="00230A2F" w:rsidP="00BD2B8C">
      <w:pPr>
        <w:spacing w:after="0" w:line="240" w:lineRule="auto"/>
        <w:rPr>
          <w:rFonts w:ascii="Arial" w:hAnsi="Arial" w:cs="Arial"/>
          <w:sz w:val="24"/>
          <w:szCs w:val="28"/>
        </w:rPr>
      </w:pPr>
    </w:p>
    <w:p w14:paraId="5124DDED" w14:textId="77777777" w:rsidR="00230A2F" w:rsidRDefault="00230A2F" w:rsidP="00BD2B8C">
      <w:pPr>
        <w:spacing w:after="0" w:line="240" w:lineRule="auto"/>
        <w:rPr>
          <w:rFonts w:ascii="Arial" w:hAnsi="Arial" w:cs="Arial"/>
          <w:sz w:val="24"/>
          <w:szCs w:val="28"/>
        </w:rPr>
      </w:pPr>
    </w:p>
    <w:p w14:paraId="0575E7CA" w14:textId="77777777" w:rsidR="00230A2F" w:rsidRDefault="00230A2F" w:rsidP="00BD2B8C">
      <w:pPr>
        <w:spacing w:after="0" w:line="240" w:lineRule="auto"/>
        <w:rPr>
          <w:rFonts w:ascii="Arial" w:hAnsi="Arial" w:cs="Arial"/>
          <w:sz w:val="24"/>
          <w:szCs w:val="28"/>
        </w:rPr>
      </w:pPr>
    </w:p>
    <w:p w14:paraId="2826ECEA" w14:textId="77777777" w:rsidR="00230A2F" w:rsidRDefault="00230A2F" w:rsidP="00BD2B8C">
      <w:pPr>
        <w:spacing w:after="0" w:line="240" w:lineRule="auto"/>
        <w:rPr>
          <w:rFonts w:ascii="Arial" w:hAnsi="Arial" w:cs="Arial"/>
          <w:sz w:val="24"/>
          <w:szCs w:val="28"/>
        </w:rPr>
      </w:pPr>
    </w:p>
    <w:p w14:paraId="3F63B692" w14:textId="77777777" w:rsidR="00230A2F" w:rsidRDefault="00230A2F" w:rsidP="00BD2B8C">
      <w:pPr>
        <w:spacing w:after="0" w:line="240" w:lineRule="auto"/>
        <w:rPr>
          <w:rFonts w:ascii="Arial" w:hAnsi="Arial" w:cs="Arial"/>
          <w:sz w:val="24"/>
          <w:szCs w:val="28"/>
        </w:rPr>
      </w:pPr>
    </w:p>
    <w:p w14:paraId="5E8136C4" w14:textId="77777777" w:rsidR="00230A2F" w:rsidRDefault="00230A2F" w:rsidP="00BD2B8C">
      <w:pPr>
        <w:spacing w:after="0" w:line="240" w:lineRule="auto"/>
        <w:rPr>
          <w:rFonts w:ascii="Arial" w:hAnsi="Arial" w:cs="Arial"/>
          <w:sz w:val="24"/>
          <w:szCs w:val="28"/>
        </w:rPr>
      </w:pPr>
    </w:p>
    <w:p w14:paraId="3E429234" w14:textId="77777777" w:rsidR="00230A2F" w:rsidRDefault="00230A2F" w:rsidP="00BD2B8C">
      <w:pPr>
        <w:spacing w:after="0" w:line="240" w:lineRule="auto"/>
        <w:rPr>
          <w:rFonts w:ascii="Arial" w:hAnsi="Arial" w:cs="Arial"/>
          <w:sz w:val="24"/>
          <w:szCs w:val="28"/>
        </w:rPr>
      </w:pPr>
    </w:p>
    <w:p w14:paraId="7722F2C9" w14:textId="77777777" w:rsidR="00230A2F" w:rsidRDefault="00230A2F" w:rsidP="00BD2B8C">
      <w:pPr>
        <w:spacing w:after="0" w:line="240" w:lineRule="auto"/>
        <w:rPr>
          <w:rFonts w:ascii="Arial" w:hAnsi="Arial" w:cs="Arial"/>
          <w:sz w:val="24"/>
          <w:szCs w:val="28"/>
        </w:rPr>
      </w:pPr>
    </w:p>
    <w:p w14:paraId="3B6D728B" w14:textId="77777777" w:rsidR="00230A2F" w:rsidRDefault="00230A2F" w:rsidP="00BD2B8C">
      <w:pPr>
        <w:spacing w:after="0" w:line="240" w:lineRule="auto"/>
        <w:rPr>
          <w:rFonts w:ascii="Arial" w:hAnsi="Arial" w:cs="Arial"/>
          <w:sz w:val="24"/>
          <w:szCs w:val="28"/>
        </w:rPr>
      </w:pPr>
    </w:p>
    <w:p w14:paraId="66A2C2C0" w14:textId="77777777" w:rsidR="00230A2F" w:rsidRDefault="00230A2F" w:rsidP="00BD2B8C">
      <w:pPr>
        <w:spacing w:after="0" w:line="240" w:lineRule="auto"/>
        <w:rPr>
          <w:rFonts w:ascii="Arial" w:hAnsi="Arial" w:cs="Arial"/>
          <w:sz w:val="24"/>
          <w:szCs w:val="28"/>
        </w:rPr>
      </w:pPr>
    </w:p>
    <w:p w14:paraId="23CD1CB8" w14:textId="77777777" w:rsidR="00230A2F" w:rsidRDefault="00230A2F" w:rsidP="00BD2B8C">
      <w:pPr>
        <w:spacing w:after="0" w:line="240" w:lineRule="auto"/>
        <w:rPr>
          <w:rFonts w:ascii="Arial" w:hAnsi="Arial" w:cs="Arial"/>
          <w:sz w:val="24"/>
          <w:szCs w:val="28"/>
        </w:rPr>
      </w:pPr>
    </w:p>
    <w:p w14:paraId="64BB4FA5" w14:textId="77777777" w:rsidR="005C2DE8" w:rsidRDefault="005C2DE8" w:rsidP="00BD2B8C">
      <w:pPr>
        <w:spacing w:after="0" w:line="240" w:lineRule="auto"/>
        <w:rPr>
          <w:rFonts w:ascii="Arial" w:hAnsi="Arial" w:cs="Arial"/>
          <w:sz w:val="24"/>
          <w:szCs w:val="28"/>
        </w:rPr>
      </w:pPr>
    </w:p>
    <w:p w14:paraId="60265460" w14:textId="77777777" w:rsidR="005C2DE8" w:rsidRDefault="005C2DE8" w:rsidP="00BD2B8C">
      <w:pPr>
        <w:spacing w:after="0" w:line="240" w:lineRule="auto"/>
        <w:rPr>
          <w:rFonts w:ascii="Arial" w:hAnsi="Arial" w:cs="Arial"/>
          <w:sz w:val="24"/>
          <w:szCs w:val="28"/>
        </w:rPr>
      </w:pPr>
    </w:p>
    <w:p w14:paraId="06D5D676" w14:textId="77777777" w:rsidR="00044743" w:rsidRDefault="00044743" w:rsidP="00BD2B8C">
      <w:pPr>
        <w:spacing w:after="0" w:line="240" w:lineRule="auto"/>
        <w:rPr>
          <w:rFonts w:ascii="Arial" w:hAnsi="Arial" w:cs="Arial"/>
          <w:sz w:val="24"/>
          <w:szCs w:val="28"/>
        </w:rPr>
      </w:pPr>
    </w:p>
    <w:p w14:paraId="5D8FED47" w14:textId="77777777" w:rsidR="00044743" w:rsidRDefault="00044743" w:rsidP="00BD2B8C">
      <w:pPr>
        <w:spacing w:after="0" w:line="240" w:lineRule="auto"/>
        <w:rPr>
          <w:rFonts w:ascii="Arial" w:hAnsi="Arial" w:cs="Arial"/>
          <w:sz w:val="24"/>
          <w:szCs w:val="28"/>
        </w:rPr>
      </w:pPr>
    </w:p>
    <w:p w14:paraId="7DFB6B11" w14:textId="77777777" w:rsidR="00044743" w:rsidRDefault="00044743" w:rsidP="00BD2B8C">
      <w:pPr>
        <w:spacing w:after="0" w:line="240" w:lineRule="auto"/>
        <w:rPr>
          <w:rFonts w:ascii="Arial" w:hAnsi="Arial" w:cs="Arial"/>
          <w:sz w:val="24"/>
          <w:szCs w:val="28"/>
        </w:rPr>
      </w:pPr>
    </w:p>
    <w:p w14:paraId="6A0163C7" w14:textId="77777777" w:rsidR="00230A2F" w:rsidRDefault="00230A2F" w:rsidP="00BD2B8C">
      <w:pPr>
        <w:spacing w:after="0" w:line="240" w:lineRule="auto"/>
        <w:rPr>
          <w:rFonts w:ascii="Arial" w:hAnsi="Arial" w:cs="Arial"/>
          <w:sz w:val="24"/>
          <w:szCs w:val="28"/>
        </w:rPr>
      </w:pPr>
    </w:p>
    <w:p w14:paraId="026CEB12" w14:textId="77777777" w:rsidR="00194286" w:rsidRDefault="00194286"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sz w:val="24"/>
          <w:szCs w:val="28"/>
        </w:rPr>
      </w:pPr>
      <w:bookmarkStart w:id="5" w:name="_Hlk112164200"/>
      <w:bookmarkEnd w:id="4"/>
      <w:r w:rsidRPr="00230A2F">
        <w:rPr>
          <w:rFonts w:ascii="Arial" w:hAnsi="Arial" w:cs="Arial"/>
          <w:b/>
          <w:sz w:val="24"/>
          <w:szCs w:val="28"/>
        </w:rPr>
        <w:t>Characteristics of staff</w:t>
      </w:r>
    </w:p>
    <w:p w14:paraId="7BA85BCE" w14:textId="77777777" w:rsidR="00230A2F" w:rsidRPr="00230A2F" w:rsidRDefault="00230A2F" w:rsidP="00230A2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sz w:val="24"/>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78"/>
        <w:gridCol w:w="6538"/>
      </w:tblGrid>
      <w:tr w:rsidR="00194286" w:rsidRPr="00230A2F" w14:paraId="0E91496C"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5"/>
          <w:p w14:paraId="699B0A66" w14:textId="24EE6BCB" w:rsidR="00194286" w:rsidRPr="00230A2F" w:rsidRDefault="00194286" w:rsidP="00194286">
            <w:pPr>
              <w:pStyle w:val="Tabletext"/>
              <w:spacing w:before="60"/>
              <w:rPr>
                <w:b/>
                <w:bCs/>
                <w:sz w:val="24"/>
                <w:szCs w:val="28"/>
                <w:lang w:val="en-GB"/>
              </w:rPr>
            </w:pPr>
            <w:r w:rsidRPr="00230A2F">
              <w:rPr>
                <w:rFonts w:cs="Arial"/>
                <w:b/>
                <w:color w:val="FF0000"/>
                <w:sz w:val="24"/>
                <w:szCs w:val="28"/>
              </w:rPr>
              <w:lastRenderedPageBreak/>
              <w:t xml:space="preserve"> </w:t>
            </w:r>
            <w:r w:rsidRPr="00230A2F">
              <w:rPr>
                <w:b/>
                <w:bCs/>
                <w:sz w:val="24"/>
                <w:szCs w:val="28"/>
                <w:lang w:val="en-GB"/>
              </w:rPr>
              <w:t>Qualifications and professional registration</w:t>
            </w:r>
          </w:p>
        </w:tc>
        <w:tc>
          <w:tcPr>
            <w:tcW w:w="3626" w:type="pct"/>
            <w:tcBorders>
              <w:top w:val="single" w:sz="4" w:space="0" w:color="auto"/>
              <w:left w:val="single" w:sz="4" w:space="0" w:color="auto"/>
              <w:bottom w:val="single" w:sz="4" w:space="0" w:color="auto"/>
              <w:right w:val="single" w:sz="4" w:space="0" w:color="auto"/>
            </w:tcBorders>
          </w:tcPr>
          <w:p w14:paraId="4A432FE5" w14:textId="19B83F44" w:rsidR="00194286" w:rsidRPr="00230A2F" w:rsidRDefault="00BE3119" w:rsidP="00BA2A98">
            <w:pPr>
              <w:pStyle w:val="TableParagraph"/>
              <w:rPr>
                <w:rFonts w:ascii="Arial" w:eastAsia="Arial" w:hAnsi="Arial" w:cs="Arial"/>
                <w:sz w:val="24"/>
                <w:szCs w:val="28"/>
              </w:rPr>
            </w:pPr>
            <w:r w:rsidRPr="00230A2F">
              <w:rPr>
                <w:rFonts w:ascii="Arial" w:eastAsia="Arial" w:hAnsi="Arial" w:cs="Arial"/>
                <w:sz w:val="24"/>
                <w:szCs w:val="28"/>
              </w:rPr>
              <w:t>Pharmacists currently registered with the General Pharmaceutical council (GPhC)</w:t>
            </w:r>
          </w:p>
        </w:tc>
      </w:tr>
      <w:tr w:rsidR="00194286" w:rsidRPr="00230A2F" w14:paraId="4C2EFEB5"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A76EB" w14:textId="77777777" w:rsidR="00194286" w:rsidRPr="00230A2F" w:rsidRDefault="00194286" w:rsidP="00194286">
            <w:pPr>
              <w:pStyle w:val="Tabletext"/>
              <w:spacing w:before="60"/>
              <w:rPr>
                <w:rFonts w:cs="Arial"/>
                <w:b/>
                <w:bCs/>
                <w:sz w:val="24"/>
                <w:szCs w:val="28"/>
                <w:lang w:val="en-GB"/>
              </w:rPr>
            </w:pPr>
            <w:r w:rsidRPr="00230A2F">
              <w:rPr>
                <w:rFonts w:cs="Arial"/>
                <w:b/>
                <w:bCs/>
                <w:sz w:val="24"/>
                <w:szCs w:val="28"/>
                <w:lang w:val="en-GB"/>
              </w:rPr>
              <w:t>Initial training</w:t>
            </w:r>
          </w:p>
        </w:tc>
        <w:tc>
          <w:tcPr>
            <w:tcW w:w="3626" w:type="pct"/>
            <w:tcBorders>
              <w:top w:val="single" w:sz="4" w:space="0" w:color="auto"/>
              <w:left w:val="single" w:sz="4" w:space="0" w:color="auto"/>
              <w:bottom w:val="single" w:sz="4" w:space="0" w:color="auto"/>
              <w:right w:val="single" w:sz="4" w:space="0" w:color="auto"/>
            </w:tcBorders>
          </w:tcPr>
          <w:p w14:paraId="6A710889" w14:textId="3261AF57" w:rsidR="00194286" w:rsidRPr="00230A2F" w:rsidRDefault="00BE3119" w:rsidP="00194286">
            <w:pPr>
              <w:pStyle w:val="Default"/>
              <w:jc w:val="both"/>
              <w:rPr>
                <w:color w:val="auto"/>
                <w:szCs w:val="28"/>
              </w:rPr>
            </w:pPr>
            <w:r w:rsidRPr="00230A2F">
              <w:rPr>
                <w:color w:val="auto"/>
                <w:szCs w:val="28"/>
              </w:rPr>
              <w:t>The pharmacist must additionally:</w:t>
            </w:r>
          </w:p>
          <w:p w14:paraId="0878EC76" w14:textId="472C6278" w:rsidR="00BE3119" w:rsidRPr="00230A2F" w:rsidRDefault="00BE3119" w:rsidP="00D03572">
            <w:pPr>
              <w:pStyle w:val="Default"/>
              <w:numPr>
                <w:ilvl w:val="0"/>
                <w:numId w:val="9"/>
              </w:numPr>
              <w:jc w:val="both"/>
              <w:rPr>
                <w:color w:val="auto"/>
                <w:szCs w:val="28"/>
              </w:rPr>
            </w:pPr>
            <w:r w:rsidRPr="00230A2F">
              <w:rPr>
                <w:color w:val="auto"/>
                <w:szCs w:val="28"/>
              </w:rPr>
              <w:t>Be authorised by name as an approved practitioner under the current terms of this PGD before working to it.</w:t>
            </w:r>
          </w:p>
          <w:p w14:paraId="4F7A8BF7" w14:textId="2CE9DF2D" w:rsidR="00BE3119" w:rsidRPr="00230A2F" w:rsidRDefault="00BE3119" w:rsidP="00D03572">
            <w:pPr>
              <w:pStyle w:val="Default"/>
              <w:numPr>
                <w:ilvl w:val="0"/>
                <w:numId w:val="9"/>
              </w:numPr>
              <w:jc w:val="both"/>
              <w:rPr>
                <w:color w:val="auto"/>
                <w:szCs w:val="28"/>
              </w:rPr>
            </w:pPr>
            <w:r w:rsidRPr="00230A2F">
              <w:rPr>
                <w:color w:val="auto"/>
                <w:szCs w:val="28"/>
              </w:rPr>
              <w:t xml:space="preserve">Have undertaken appropriate training and </w:t>
            </w:r>
            <w:r w:rsidR="008A361A">
              <w:rPr>
                <w:color w:val="auto"/>
                <w:szCs w:val="28"/>
              </w:rPr>
              <w:t xml:space="preserve">confirmed training completed and </w:t>
            </w:r>
            <w:r w:rsidR="008A361A" w:rsidRPr="00E91DD5">
              <w:rPr>
                <w:color w:val="auto"/>
                <w:szCs w:val="28"/>
                <w:u w:val="double"/>
              </w:rPr>
              <w:t>PG</w:t>
            </w:r>
            <w:r w:rsidR="008A361A">
              <w:rPr>
                <w:color w:val="auto"/>
                <w:szCs w:val="28"/>
                <w:u w:val="double"/>
              </w:rPr>
              <w:t xml:space="preserve">D read </w:t>
            </w:r>
            <w:r w:rsidR="008535B8">
              <w:rPr>
                <w:color w:val="auto"/>
                <w:szCs w:val="28"/>
                <w:u w:val="double"/>
              </w:rPr>
              <w:t xml:space="preserve">plus signed </w:t>
            </w:r>
            <w:r w:rsidRPr="00230A2F">
              <w:rPr>
                <w:color w:val="auto"/>
                <w:szCs w:val="28"/>
              </w:rPr>
              <w:t>to carry out clinical assessment of patient leading to diagnosis that requires treatment according to the indications listed in this PGD.</w:t>
            </w:r>
          </w:p>
          <w:p w14:paraId="7A68862A" w14:textId="24E83374" w:rsidR="00BE3119" w:rsidRPr="00230A2F" w:rsidRDefault="00BE3119" w:rsidP="00D03572">
            <w:pPr>
              <w:pStyle w:val="Default"/>
              <w:numPr>
                <w:ilvl w:val="0"/>
                <w:numId w:val="9"/>
              </w:numPr>
              <w:jc w:val="both"/>
              <w:rPr>
                <w:color w:val="auto"/>
                <w:szCs w:val="28"/>
              </w:rPr>
            </w:pPr>
            <w:r w:rsidRPr="00230A2F">
              <w:rPr>
                <w:color w:val="auto"/>
                <w:szCs w:val="28"/>
              </w:rPr>
              <w:t xml:space="preserve">Must have undertaken appropriate training for </w:t>
            </w:r>
            <w:r w:rsidR="00230A2F" w:rsidRPr="00230A2F">
              <w:rPr>
                <w:color w:val="auto"/>
                <w:szCs w:val="28"/>
              </w:rPr>
              <w:t xml:space="preserve">working under PGDs for supply/administration of medicines </w:t>
            </w:r>
          </w:p>
          <w:p w14:paraId="66B8EAEC" w14:textId="21FBD15A" w:rsidR="00230A2F" w:rsidRPr="00230A2F" w:rsidRDefault="00230A2F" w:rsidP="00D03572">
            <w:pPr>
              <w:pStyle w:val="Default"/>
              <w:numPr>
                <w:ilvl w:val="0"/>
                <w:numId w:val="9"/>
              </w:numPr>
              <w:jc w:val="both"/>
              <w:rPr>
                <w:color w:val="auto"/>
                <w:szCs w:val="28"/>
              </w:rPr>
            </w:pPr>
            <w:r w:rsidRPr="00230A2F">
              <w:rPr>
                <w:color w:val="auto"/>
                <w:szCs w:val="28"/>
              </w:rPr>
              <w:t xml:space="preserve">Must be competent in the use of PGDs (see </w:t>
            </w:r>
            <w:hyperlink r:id="rId12" w:history="1">
              <w:r w:rsidRPr="00230A2F">
                <w:rPr>
                  <w:rStyle w:val="Hyperlink"/>
                  <w:szCs w:val="28"/>
                </w:rPr>
                <w:t>NICE Competency Framework</w:t>
              </w:r>
            </w:hyperlink>
            <w:r w:rsidRPr="00230A2F">
              <w:rPr>
                <w:color w:val="auto"/>
                <w:szCs w:val="28"/>
              </w:rPr>
              <w:t>) for healthcare professionals using PGDs</w:t>
            </w:r>
          </w:p>
          <w:p w14:paraId="33B5BA52" w14:textId="6AF86E4D" w:rsidR="00230A2F" w:rsidRPr="00230A2F" w:rsidRDefault="00230A2F" w:rsidP="00D03572">
            <w:pPr>
              <w:pStyle w:val="Default"/>
              <w:numPr>
                <w:ilvl w:val="0"/>
                <w:numId w:val="9"/>
              </w:numPr>
              <w:jc w:val="both"/>
              <w:rPr>
                <w:color w:val="auto"/>
                <w:szCs w:val="28"/>
              </w:rPr>
            </w:pPr>
            <w:r w:rsidRPr="00230A2F">
              <w:rPr>
                <w:color w:val="auto"/>
                <w:szCs w:val="28"/>
              </w:rPr>
              <w:t>Must have access to the PGD and associated online resource</w:t>
            </w:r>
          </w:p>
          <w:p w14:paraId="6D0A523F" w14:textId="6011995A" w:rsidR="00230A2F" w:rsidRPr="00230A2F" w:rsidRDefault="00230A2F" w:rsidP="00D03572">
            <w:pPr>
              <w:pStyle w:val="Default"/>
              <w:numPr>
                <w:ilvl w:val="0"/>
                <w:numId w:val="9"/>
              </w:numPr>
              <w:jc w:val="both"/>
              <w:rPr>
                <w:color w:val="auto"/>
                <w:szCs w:val="28"/>
              </w:rPr>
            </w:pPr>
            <w:r w:rsidRPr="00230A2F">
              <w:rPr>
                <w:color w:val="auto"/>
                <w:szCs w:val="28"/>
              </w:rPr>
              <w:t>Should fulfil any training requirements defined by Gloucestershire ICB</w:t>
            </w:r>
            <w:r w:rsidR="00F84C7E">
              <w:rPr>
                <w:color w:val="auto"/>
                <w:szCs w:val="28"/>
              </w:rPr>
              <w:t xml:space="preserve"> – see service specification</w:t>
            </w:r>
            <w:r w:rsidRPr="00230A2F">
              <w:rPr>
                <w:color w:val="auto"/>
                <w:szCs w:val="28"/>
              </w:rPr>
              <w:t>.</w:t>
            </w:r>
          </w:p>
          <w:p w14:paraId="5F72BEDE" w14:textId="77777777" w:rsidR="00194286" w:rsidRPr="00230A2F" w:rsidRDefault="00194286" w:rsidP="00194286">
            <w:pPr>
              <w:pStyle w:val="Default"/>
              <w:jc w:val="both"/>
              <w:rPr>
                <w:color w:val="FF0000"/>
                <w:szCs w:val="28"/>
              </w:rPr>
            </w:pPr>
          </w:p>
          <w:p w14:paraId="1FCE6615" w14:textId="76F10626" w:rsidR="00230A2F" w:rsidRPr="00230A2F" w:rsidRDefault="00230A2F" w:rsidP="00194286">
            <w:pPr>
              <w:pStyle w:val="Default"/>
              <w:jc w:val="both"/>
              <w:rPr>
                <w:b/>
                <w:bCs/>
                <w:color w:val="000000" w:themeColor="text1"/>
                <w:szCs w:val="28"/>
              </w:rPr>
            </w:pPr>
            <w:r w:rsidRPr="00230A2F">
              <w:rPr>
                <w:b/>
                <w:bCs/>
                <w:color w:val="000000" w:themeColor="text1"/>
                <w:szCs w:val="28"/>
              </w:rPr>
              <w:t xml:space="preserve">The registered healthcare professional authorised to operate under this PGD must have undertaken appropriate training and successfully completed the competencies to undertake a clinical assessment of the patient leading to the diagnosis of the conditions listed. </w:t>
            </w:r>
          </w:p>
        </w:tc>
      </w:tr>
      <w:tr w:rsidR="00194286" w:rsidRPr="00230A2F" w14:paraId="5BB0F066" w14:textId="77777777" w:rsidTr="00FD11AF">
        <w:tc>
          <w:tcPr>
            <w:tcW w:w="13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3FBE" w14:textId="77777777" w:rsidR="00194286" w:rsidRPr="00230A2F" w:rsidRDefault="00194286" w:rsidP="00194286">
            <w:pPr>
              <w:pStyle w:val="Tabletext"/>
              <w:spacing w:before="60"/>
              <w:rPr>
                <w:rFonts w:cs="Arial"/>
                <w:b/>
                <w:bCs/>
                <w:sz w:val="24"/>
                <w:szCs w:val="28"/>
                <w:lang w:val="en-GB"/>
              </w:rPr>
            </w:pPr>
            <w:r w:rsidRPr="00230A2F">
              <w:rPr>
                <w:rFonts w:cs="Arial"/>
                <w:b/>
                <w:bCs/>
                <w:sz w:val="24"/>
                <w:szCs w:val="28"/>
                <w:lang w:val="en-GB"/>
              </w:rPr>
              <w:t>Competency assessment</w:t>
            </w:r>
          </w:p>
        </w:tc>
        <w:tc>
          <w:tcPr>
            <w:tcW w:w="3626" w:type="pct"/>
            <w:tcBorders>
              <w:top w:val="single" w:sz="4" w:space="0" w:color="auto"/>
              <w:left w:val="single" w:sz="4" w:space="0" w:color="auto"/>
              <w:bottom w:val="single" w:sz="4" w:space="0" w:color="auto"/>
              <w:right w:val="single" w:sz="4" w:space="0" w:color="auto"/>
            </w:tcBorders>
          </w:tcPr>
          <w:p w14:paraId="3DA287B9" w14:textId="292F60E0" w:rsidR="00237FB4" w:rsidRDefault="00230A2F" w:rsidP="00194286">
            <w:pPr>
              <w:pStyle w:val="Tabletext"/>
              <w:spacing w:after="0"/>
              <w:jc w:val="both"/>
              <w:rPr>
                <w:rFonts w:cs="Arial"/>
                <w:b/>
                <w:iCs/>
                <w:color w:val="000000" w:themeColor="text1"/>
                <w:sz w:val="24"/>
                <w:szCs w:val="28"/>
                <w:lang w:val="en-GB"/>
              </w:rPr>
            </w:pPr>
            <w:r>
              <w:rPr>
                <w:rFonts w:cs="Arial"/>
                <w:b/>
                <w:iCs/>
                <w:color w:val="000000" w:themeColor="text1"/>
                <w:sz w:val="24"/>
                <w:szCs w:val="28"/>
                <w:lang w:val="en-GB"/>
              </w:rPr>
              <w:t xml:space="preserve">Pharmacists must </w:t>
            </w:r>
            <w:r w:rsidR="00A46BFE">
              <w:rPr>
                <w:rFonts w:cs="Arial"/>
                <w:b/>
                <w:iCs/>
                <w:color w:val="000000" w:themeColor="text1"/>
                <w:sz w:val="24"/>
                <w:szCs w:val="28"/>
                <w:lang w:val="en-GB"/>
              </w:rPr>
              <w:t>confirm training completed and PGD read plus signed</w:t>
            </w:r>
            <w:r w:rsidR="00014562">
              <w:rPr>
                <w:rFonts w:cs="Arial"/>
                <w:b/>
                <w:iCs/>
                <w:color w:val="000000" w:themeColor="text1"/>
                <w:sz w:val="24"/>
                <w:szCs w:val="28"/>
                <w:lang w:val="en-GB"/>
              </w:rPr>
              <w:t xml:space="preserve"> </w:t>
            </w:r>
            <w:r>
              <w:rPr>
                <w:rFonts w:cs="Arial"/>
                <w:b/>
                <w:iCs/>
                <w:color w:val="000000" w:themeColor="text1"/>
                <w:sz w:val="24"/>
                <w:szCs w:val="28"/>
                <w:lang w:val="en-GB"/>
              </w:rPr>
              <w:t>on PharmOutcomes</w:t>
            </w:r>
            <w:r w:rsidR="00014562">
              <w:rPr>
                <w:rFonts w:cs="Arial"/>
                <w:b/>
                <w:iCs/>
                <w:color w:val="000000" w:themeColor="text1"/>
                <w:sz w:val="24"/>
                <w:szCs w:val="28"/>
                <w:lang w:val="en-GB"/>
              </w:rPr>
              <w:t xml:space="preserve"> prior to initial consultation</w:t>
            </w:r>
            <w:r>
              <w:rPr>
                <w:rFonts w:cs="Arial"/>
                <w:b/>
                <w:iCs/>
                <w:color w:val="000000" w:themeColor="text1"/>
                <w:sz w:val="24"/>
                <w:szCs w:val="28"/>
                <w:lang w:val="en-GB"/>
              </w:rPr>
              <w:t>.</w:t>
            </w:r>
          </w:p>
          <w:p w14:paraId="17E27B2F" w14:textId="77777777" w:rsidR="00230A2F" w:rsidRDefault="00230A2F" w:rsidP="00194286">
            <w:pPr>
              <w:pStyle w:val="Tabletext"/>
              <w:spacing w:after="0"/>
              <w:jc w:val="both"/>
              <w:rPr>
                <w:rFonts w:cs="Arial"/>
                <w:b/>
                <w:iCs/>
                <w:color w:val="000000" w:themeColor="text1"/>
                <w:sz w:val="24"/>
                <w:szCs w:val="28"/>
                <w:lang w:val="en-GB"/>
              </w:rPr>
            </w:pPr>
          </w:p>
          <w:p w14:paraId="0AF922FB" w14:textId="4AC02E43" w:rsidR="00230A2F" w:rsidRDefault="00230A2F" w:rsidP="00194286">
            <w:pPr>
              <w:pStyle w:val="Tabletext"/>
              <w:spacing w:after="0"/>
              <w:jc w:val="both"/>
              <w:rPr>
                <w:rFonts w:cs="Arial"/>
                <w:bCs/>
                <w:i/>
                <w:color w:val="000000" w:themeColor="text1"/>
                <w:sz w:val="24"/>
                <w:szCs w:val="28"/>
                <w:lang w:val="en-GB"/>
              </w:rPr>
            </w:pPr>
            <w:r>
              <w:rPr>
                <w:rFonts w:cs="Arial"/>
                <w:bCs/>
                <w:i/>
                <w:color w:val="000000" w:themeColor="text1"/>
                <w:sz w:val="24"/>
                <w:szCs w:val="28"/>
                <w:lang w:val="en-GB"/>
              </w:rPr>
              <w:t xml:space="preserve">Staff operating under this PGD are encouraged to review their competency using the </w:t>
            </w:r>
            <w:hyperlink r:id="rId13" w:history="1">
              <w:r w:rsidRPr="00230A2F">
                <w:rPr>
                  <w:rStyle w:val="Hyperlink"/>
                  <w:rFonts w:cs="Arial"/>
                  <w:bCs/>
                  <w:i/>
                  <w:sz w:val="24"/>
                  <w:szCs w:val="28"/>
                  <w:lang w:val="en-GB"/>
                </w:rPr>
                <w:t>NICE Competency Framework for health professionals using patient group directions</w:t>
              </w:r>
            </w:hyperlink>
            <w:r>
              <w:rPr>
                <w:rFonts w:cs="Arial"/>
                <w:bCs/>
                <w:i/>
                <w:color w:val="000000" w:themeColor="text1"/>
                <w:sz w:val="24"/>
                <w:szCs w:val="28"/>
                <w:lang w:val="en-GB"/>
              </w:rPr>
              <w:t>.</w:t>
            </w:r>
          </w:p>
          <w:p w14:paraId="5E9E2015" w14:textId="77777777" w:rsidR="00230A2F" w:rsidRDefault="00230A2F" w:rsidP="00194286">
            <w:pPr>
              <w:pStyle w:val="Tabletext"/>
              <w:spacing w:after="0"/>
              <w:jc w:val="both"/>
              <w:rPr>
                <w:rFonts w:cs="Arial"/>
                <w:bCs/>
                <w:i/>
                <w:color w:val="000000" w:themeColor="text1"/>
                <w:sz w:val="24"/>
                <w:szCs w:val="28"/>
                <w:lang w:val="en-GB"/>
              </w:rPr>
            </w:pPr>
          </w:p>
          <w:p w14:paraId="5263DA0C" w14:textId="0F966221" w:rsidR="00230A2F" w:rsidRPr="006105C8" w:rsidRDefault="006105C8" w:rsidP="00194286">
            <w:pPr>
              <w:pStyle w:val="Tabletext"/>
              <w:spacing w:after="0"/>
              <w:jc w:val="both"/>
              <w:rPr>
                <w:rFonts w:cs="Arial"/>
                <w:bCs/>
                <w:iCs/>
                <w:color w:val="000000" w:themeColor="text1"/>
                <w:sz w:val="24"/>
                <w:szCs w:val="28"/>
                <w:lang w:val="en-GB"/>
              </w:rPr>
            </w:pPr>
            <w:r>
              <w:rPr>
                <w:rFonts w:cs="Arial"/>
                <w:b/>
                <w:i/>
                <w:color w:val="000000" w:themeColor="text1"/>
                <w:sz w:val="24"/>
                <w:szCs w:val="28"/>
                <w:lang w:val="en-GB"/>
              </w:rPr>
              <w:t xml:space="preserve">Individuals operating under this PGD are personally responsible for ensuring they remain up to date with the use of all medicines included in the PGD – if any training needs are identified these should be discussed with the senior individual responsible for authorising individuals to act under the PGD and further training provided as required. </w:t>
            </w:r>
          </w:p>
        </w:tc>
      </w:tr>
      <w:tr w:rsidR="00194286" w:rsidRPr="00194286" w14:paraId="534B4B8A" w14:textId="77777777" w:rsidTr="00FD11AF">
        <w:tc>
          <w:tcPr>
            <w:tcW w:w="5000" w:type="pct"/>
            <w:gridSpan w:val="2"/>
            <w:tcBorders>
              <w:top w:val="single" w:sz="4" w:space="0" w:color="auto"/>
              <w:left w:val="single" w:sz="4" w:space="0" w:color="auto"/>
              <w:bottom w:val="single" w:sz="4" w:space="0" w:color="auto"/>
              <w:right w:val="single" w:sz="4" w:space="0" w:color="auto"/>
            </w:tcBorders>
          </w:tcPr>
          <w:p w14:paraId="58EE915C" w14:textId="77777777" w:rsidR="00194286" w:rsidRPr="001E22E5" w:rsidRDefault="00194286" w:rsidP="00194286">
            <w:pPr>
              <w:pStyle w:val="Tabletext"/>
              <w:spacing w:after="0"/>
              <w:rPr>
                <w:rFonts w:cs="Arial"/>
                <w:i/>
                <w:lang w:val="en-GB"/>
              </w:rPr>
            </w:pPr>
            <w:r w:rsidRPr="001E22E5">
              <w:rPr>
                <w:rFonts w:cs="Arial"/>
                <w:b/>
                <w:i/>
                <w:lang w:val="en-GB"/>
              </w:rPr>
              <w:t>The decision to supply any medication rests with the individual registered health professional who must abide by the PGD and any associated organisation policies</w:t>
            </w:r>
            <w:r w:rsidRPr="001E22E5">
              <w:rPr>
                <w:rFonts w:cs="Arial"/>
                <w:i/>
                <w:lang w:val="en-GB"/>
              </w:rPr>
              <w:t xml:space="preserve">.  </w:t>
            </w:r>
          </w:p>
        </w:tc>
      </w:tr>
    </w:tbl>
    <w:p w14:paraId="0A9DD42A" w14:textId="77777777" w:rsidR="00194286" w:rsidRDefault="00194286" w:rsidP="00243E21">
      <w:pPr>
        <w:spacing w:after="0" w:line="240" w:lineRule="auto"/>
        <w:rPr>
          <w:rFonts w:ascii="Arial" w:eastAsia="Times New Roman" w:hAnsi="Arial" w:cs="Times New Roman"/>
          <w:sz w:val="20"/>
          <w:szCs w:val="20"/>
        </w:rPr>
      </w:pPr>
    </w:p>
    <w:p w14:paraId="550692CB" w14:textId="77777777" w:rsidR="006105C8" w:rsidRDefault="006105C8" w:rsidP="00243E21">
      <w:pPr>
        <w:spacing w:after="0" w:line="240" w:lineRule="auto"/>
        <w:rPr>
          <w:rFonts w:ascii="Arial" w:eastAsia="Times New Roman" w:hAnsi="Arial" w:cs="Times New Roman"/>
          <w:sz w:val="20"/>
          <w:szCs w:val="20"/>
        </w:rPr>
      </w:pPr>
    </w:p>
    <w:p w14:paraId="72D4DF17" w14:textId="77777777" w:rsidR="006105C8" w:rsidRDefault="006105C8" w:rsidP="00243E21">
      <w:pPr>
        <w:spacing w:after="0" w:line="240" w:lineRule="auto"/>
        <w:rPr>
          <w:rFonts w:ascii="Arial" w:eastAsia="Times New Roman" w:hAnsi="Arial" w:cs="Times New Roman"/>
          <w:sz w:val="20"/>
          <w:szCs w:val="20"/>
        </w:rPr>
      </w:pPr>
    </w:p>
    <w:p w14:paraId="47013B8B" w14:textId="77777777" w:rsidR="00C96A2A" w:rsidRPr="006105C8" w:rsidRDefault="00C96A2A"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sz w:val="24"/>
          <w:szCs w:val="24"/>
        </w:rPr>
      </w:pPr>
      <w:r w:rsidRPr="006105C8">
        <w:rPr>
          <w:rFonts w:ascii="Arial" w:hAnsi="Arial" w:cs="Arial"/>
          <w:b/>
          <w:sz w:val="24"/>
          <w:szCs w:val="24"/>
        </w:rPr>
        <w:t>Clinical condition or situation to which this PGD applies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5"/>
        <w:gridCol w:w="6551"/>
      </w:tblGrid>
      <w:tr w:rsidR="00C96A2A" w:rsidRPr="006105C8" w14:paraId="611A981B" w14:textId="77777777" w:rsidTr="00FD11AF">
        <w:trPr>
          <w:trHeight w:val="339"/>
        </w:trPr>
        <w:tc>
          <w:tcPr>
            <w:tcW w:w="1367" w:type="pct"/>
            <w:shd w:val="clear" w:color="auto" w:fill="D9D9D9" w:themeFill="background1" w:themeFillShade="D9"/>
          </w:tcPr>
          <w:p w14:paraId="15560C67" w14:textId="6F864F44"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lastRenderedPageBreak/>
              <w:t>Clinical condition or situation</w:t>
            </w:r>
            <w:r w:rsidR="001A2F11" w:rsidRPr="006105C8">
              <w:rPr>
                <w:rFonts w:ascii="Arial" w:eastAsia="Times New Roman" w:hAnsi="Arial" w:cs="Times New Roman"/>
                <w:b/>
                <w:sz w:val="24"/>
                <w:szCs w:val="24"/>
              </w:rPr>
              <w:t xml:space="preserve"> to which this PGD applies </w:t>
            </w:r>
          </w:p>
        </w:tc>
        <w:tc>
          <w:tcPr>
            <w:tcW w:w="3633" w:type="pct"/>
          </w:tcPr>
          <w:p w14:paraId="21269B25" w14:textId="51D0992C" w:rsidR="009A3EC2" w:rsidRPr="00044743" w:rsidRDefault="00DC63B5" w:rsidP="00044743">
            <w:p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Otitis Externa/inflammatory conditions of the external ear canal, where a secondary infection is suspected</w:t>
            </w:r>
          </w:p>
        </w:tc>
      </w:tr>
      <w:tr w:rsidR="00C96A2A" w:rsidRPr="006105C8" w14:paraId="5A3776D7" w14:textId="77777777" w:rsidTr="00FD11AF">
        <w:trPr>
          <w:trHeight w:val="339"/>
        </w:trPr>
        <w:tc>
          <w:tcPr>
            <w:tcW w:w="1367" w:type="pct"/>
            <w:shd w:val="clear" w:color="auto" w:fill="D9D9D9" w:themeFill="background1" w:themeFillShade="D9"/>
          </w:tcPr>
          <w:p w14:paraId="544A3074"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 xml:space="preserve">Inclusion criteria </w:t>
            </w:r>
          </w:p>
        </w:tc>
        <w:tc>
          <w:tcPr>
            <w:tcW w:w="3633" w:type="pct"/>
          </w:tcPr>
          <w:p w14:paraId="46E4A9C0" w14:textId="77777777" w:rsidR="00F42466" w:rsidRDefault="00DC63B5" w:rsidP="00D03572">
            <w:pPr>
              <w:pStyle w:val="ListParagraph"/>
              <w:numPr>
                <w:ilvl w:val="0"/>
                <w:numId w:val="13"/>
              </w:numPr>
              <w:spacing w:after="0" w:line="240" w:lineRule="auto"/>
              <w:rPr>
                <w:rFonts w:ascii="Arial" w:hAnsi="Arial"/>
                <w:sz w:val="24"/>
                <w:szCs w:val="24"/>
              </w:rPr>
            </w:pPr>
            <w:r>
              <w:rPr>
                <w:rFonts w:ascii="Arial" w:hAnsi="Arial"/>
                <w:sz w:val="24"/>
                <w:szCs w:val="24"/>
              </w:rPr>
              <w:t>Valid informed consent</w:t>
            </w:r>
          </w:p>
          <w:p w14:paraId="35038993" w14:textId="77777777" w:rsidR="00DC63B5" w:rsidRDefault="00DC63B5" w:rsidP="00D03572">
            <w:pPr>
              <w:pStyle w:val="ListParagraph"/>
              <w:numPr>
                <w:ilvl w:val="0"/>
                <w:numId w:val="13"/>
              </w:numPr>
              <w:spacing w:after="0" w:line="240" w:lineRule="auto"/>
              <w:rPr>
                <w:rFonts w:ascii="Arial" w:hAnsi="Arial"/>
                <w:sz w:val="24"/>
                <w:szCs w:val="24"/>
              </w:rPr>
            </w:pPr>
            <w:r>
              <w:rPr>
                <w:rFonts w:ascii="Arial" w:hAnsi="Arial"/>
                <w:sz w:val="24"/>
                <w:szCs w:val="24"/>
              </w:rPr>
              <w:t>Children (under 16) should demonstrate competence under Gillick competency rules, or consent for treatment must be given by an adult with parental responsibility</w:t>
            </w:r>
          </w:p>
          <w:p w14:paraId="42908812" w14:textId="77777777" w:rsidR="00DC63B5" w:rsidRDefault="00DC63B5" w:rsidP="00DC63B5">
            <w:pPr>
              <w:spacing w:after="0" w:line="240" w:lineRule="auto"/>
              <w:rPr>
                <w:rFonts w:ascii="Arial" w:hAnsi="Arial"/>
                <w:sz w:val="24"/>
                <w:szCs w:val="24"/>
              </w:rPr>
            </w:pPr>
          </w:p>
          <w:p w14:paraId="502FB77B" w14:textId="77777777" w:rsidR="00DC63B5" w:rsidRDefault="00DC63B5" w:rsidP="00DC63B5">
            <w:pPr>
              <w:spacing w:after="0" w:line="240" w:lineRule="auto"/>
              <w:rPr>
                <w:rFonts w:ascii="Arial" w:hAnsi="Arial"/>
                <w:sz w:val="24"/>
                <w:szCs w:val="24"/>
              </w:rPr>
            </w:pPr>
            <w:r>
              <w:rPr>
                <w:rFonts w:ascii="Arial" w:hAnsi="Arial"/>
                <w:b/>
                <w:bCs/>
                <w:sz w:val="24"/>
                <w:szCs w:val="24"/>
              </w:rPr>
              <w:t xml:space="preserve">Adults and children aged 2 years and over with moderate/severe symptoms not managed by conservative treatment </w:t>
            </w:r>
            <w:r>
              <w:rPr>
                <w:rFonts w:ascii="Arial" w:hAnsi="Arial"/>
                <w:sz w:val="24"/>
                <w:szCs w:val="24"/>
              </w:rPr>
              <w:t>(see cautions)</w:t>
            </w:r>
          </w:p>
          <w:p w14:paraId="5116507E" w14:textId="77777777" w:rsidR="00DC63B5" w:rsidRDefault="00DC63B5" w:rsidP="00DC63B5">
            <w:pPr>
              <w:spacing w:after="0" w:line="240" w:lineRule="auto"/>
              <w:rPr>
                <w:rFonts w:ascii="Arial" w:hAnsi="Arial"/>
                <w:sz w:val="24"/>
                <w:szCs w:val="24"/>
              </w:rPr>
            </w:pPr>
          </w:p>
          <w:p w14:paraId="3D3B5FA6" w14:textId="77777777" w:rsidR="00DC63B5" w:rsidRDefault="00DC63B5" w:rsidP="00DC63B5">
            <w:pPr>
              <w:spacing w:after="0" w:line="240" w:lineRule="auto"/>
              <w:rPr>
                <w:rFonts w:ascii="Arial" w:hAnsi="Arial"/>
                <w:b/>
                <w:bCs/>
                <w:sz w:val="24"/>
                <w:szCs w:val="24"/>
              </w:rPr>
            </w:pPr>
            <w:r>
              <w:rPr>
                <w:rFonts w:ascii="Arial" w:hAnsi="Arial"/>
                <w:b/>
                <w:bCs/>
                <w:sz w:val="24"/>
                <w:szCs w:val="24"/>
              </w:rPr>
              <w:t>At least one typical symptom (usually rapid-onset within 48 hours):</w:t>
            </w:r>
          </w:p>
          <w:p w14:paraId="5BAFBEEF" w14:textId="1AEFFBE1" w:rsidR="00DC63B5" w:rsidRDefault="00DC63B5" w:rsidP="00D03572">
            <w:pPr>
              <w:pStyle w:val="ListParagraph"/>
              <w:numPr>
                <w:ilvl w:val="0"/>
                <w:numId w:val="15"/>
              </w:numPr>
              <w:spacing w:after="0" w:line="240" w:lineRule="auto"/>
              <w:rPr>
                <w:rFonts w:ascii="Arial" w:hAnsi="Arial"/>
                <w:sz w:val="24"/>
                <w:szCs w:val="24"/>
              </w:rPr>
            </w:pPr>
            <w:r>
              <w:rPr>
                <w:rFonts w:ascii="Arial" w:hAnsi="Arial"/>
                <w:sz w:val="24"/>
                <w:szCs w:val="24"/>
              </w:rPr>
              <w:t>Itch of the ear canal</w:t>
            </w:r>
          </w:p>
          <w:p w14:paraId="77E51242" w14:textId="6F4C0648" w:rsidR="00DC63B5" w:rsidRDefault="00DC63B5" w:rsidP="00D03572">
            <w:pPr>
              <w:pStyle w:val="ListParagraph"/>
              <w:numPr>
                <w:ilvl w:val="0"/>
                <w:numId w:val="15"/>
              </w:numPr>
              <w:spacing w:after="0" w:line="240" w:lineRule="auto"/>
              <w:rPr>
                <w:rFonts w:ascii="Arial" w:hAnsi="Arial"/>
                <w:sz w:val="24"/>
                <w:szCs w:val="24"/>
              </w:rPr>
            </w:pPr>
            <w:r>
              <w:rPr>
                <w:rFonts w:ascii="Arial" w:hAnsi="Arial"/>
                <w:sz w:val="24"/>
                <w:szCs w:val="24"/>
              </w:rPr>
              <w:t>Ear pain and tenderness of the tragus and/or pinna (often severe), with possible jaw pain</w:t>
            </w:r>
          </w:p>
          <w:p w14:paraId="77ABB53C" w14:textId="59A13819" w:rsidR="00DC63B5" w:rsidRDefault="00DC63B5" w:rsidP="00D03572">
            <w:pPr>
              <w:pStyle w:val="ListParagraph"/>
              <w:numPr>
                <w:ilvl w:val="0"/>
                <w:numId w:val="15"/>
              </w:numPr>
              <w:spacing w:after="0" w:line="240" w:lineRule="auto"/>
              <w:rPr>
                <w:rFonts w:ascii="Arial" w:hAnsi="Arial"/>
                <w:sz w:val="24"/>
                <w:szCs w:val="24"/>
              </w:rPr>
            </w:pPr>
            <w:r>
              <w:rPr>
                <w:rFonts w:ascii="Arial" w:hAnsi="Arial"/>
                <w:sz w:val="24"/>
                <w:szCs w:val="24"/>
              </w:rPr>
              <w:t xml:space="preserve">Ear discharge </w:t>
            </w:r>
          </w:p>
          <w:p w14:paraId="14A3202F" w14:textId="691B538C" w:rsidR="00DC63B5" w:rsidRDefault="00DC63B5" w:rsidP="00D03572">
            <w:pPr>
              <w:pStyle w:val="ListParagraph"/>
              <w:numPr>
                <w:ilvl w:val="0"/>
                <w:numId w:val="15"/>
              </w:numPr>
              <w:spacing w:after="0" w:line="240" w:lineRule="auto"/>
              <w:rPr>
                <w:rFonts w:ascii="Arial" w:hAnsi="Arial"/>
                <w:sz w:val="24"/>
                <w:szCs w:val="24"/>
              </w:rPr>
            </w:pPr>
            <w:r>
              <w:rPr>
                <w:rFonts w:ascii="Arial" w:hAnsi="Arial"/>
                <w:sz w:val="24"/>
                <w:szCs w:val="24"/>
              </w:rPr>
              <w:t>Hearing loss due to ear canal occlusion (less common)</w:t>
            </w:r>
          </w:p>
          <w:p w14:paraId="1DDB1A39" w14:textId="77777777" w:rsidR="00DC63B5" w:rsidRPr="00DC63B5" w:rsidRDefault="00DC63B5" w:rsidP="00DC63B5">
            <w:pPr>
              <w:pStyle w:val="ListParagraph"/>
              <w:spacing w:after="0" w:line="240" w:lineRule="auto"/>
              <w:ind w:left="360"/>
              <w:rPr>
                <w:rFonts w:ascii="Arial" w:hAnsi="Arial"/>
                <w:sz w:val="24"/>
                <w:szCs w:val="24"/>
              </w:rPr>
            </w:pPr>
          </w:p>
          <w:p w14:paraId="36F8B60B" w14:textId="77777777" w:rsidR="00DC63B5" w:rsidRDefault="00DC63B5" w:rsidP="00DC63B5">
            <w:pPr>
              <w:spacing w:after="0" w:line="240" w:lineRule="auto"/>
              <w:rPr>
                <w:rFonts w:ascii="Arial" w:hAnsi="Arial"/>
                <w:b/>
                <w:bCs/>
                <w:sz w:val="24"/>
                <w:szCs w:val="24"/>
              </w:rPr>
            </w:pPr>
            <w:r>
              <w:rPr>
                <w:rFonts w:ascii="Arial" w:hAnsi="Arial"/>
                <w:b/>
                <w:bCs/>
                <w:sz w:val="24"/>
                <w:szCs w:val="24"/>
              </w:rPr>
              <w:t>AND at least two typical signs:</w:t>
            </w:r>
          </w:p>
          <w:p w14:paraId="76EF8B7A" w14:textId="77777777" w:rsidR="00DC63B5" w:rsidRPr="008829AE" w:rsidRDefault="00DC63B5" w:rsidP="00D03572">
            <w:pPr>
              <w:pStyle w:val="ListParagraph"/>
              <w:numPr>
                <w:ilvl w:val="0"/>
                <w:numId w:val="16"/>
              </w:numPr>
              <w:spacing w:after="0" w:line="240" w:lineRule="auto"/>
              <w:rPr>
                <w:rFonts w:ascii="Arial" w:hAnsi="Arial"/>
                <w:b/>
                <w:bCs/>
                <w:sz w:val="24"/>
                <w:szCs w:val="24"/>
              </w:rPr>
            </w:pPr>
            <w:r>
              <w:rPr>
                <w:rFonts w:ascii="Arial" w:hAnsi="Arial"/>
                <w:sz w:val="24"/>
                <w:szCs w:val="24"/>
              </w:rPr>
              <w:t>Tenderness of the tragus and/or pinn</w:t>
            </w:r>
            <w:r w:rsidR="008829AE">
              <w:rPr>
                <w:rFonts w:ascii="Arial" w:hAnsi="Arial"/>
                <w:sz w:val="24"/>
                <w:szCs w:val="24"/>
              </w:rPr>
              <w:t>a</w:t>
            </w:r>
          </w:p>
          <w:p w14:paraId="75CCADC9" w14:textId="77777777" w:rsidR="008829AE" w:rsidRPr="008829AE" w:rsidRDefault="008829AE" w:rsidP="00D03572">
            <w:pPr>
              <w:pStyle w:val="ListParagraph"/>
              <w:numPr>
                <w:ilvl w:val="0"/>
                <w:numId w:val="16"/>
              </w:numPr>
              <w:spacing w:after="0" w:line="240" w:lineRule="auto"/>
              <w:rPr>
                <w:rFonts w:ascii="Arial" w:hAnsi="Arial"/>
                <w:b/>
                <w:bCs/>
                <w:sz w:val="24"/>
                <w:szCs w:val="24"/>
              </w:rPr>
            </w:pPr>
            <w:r>
              <w:rPr>
                <w:rFonts w:ascii="Arial" w:hAnsi="Arial"/>
                <w:sz w:val="24"/>
                <w:szCs w:val="24"/>
              </w:rPr>
              <w:t>The ear canal is red and oedematous, and there may be debris and ear discharge contributing to swelling and canal occlusion.</w:t>
            </w:r>
          </w:p>
          <w:p w14:paraId="1FB8A134" w14:textId="77777777" w:rsidR="008829AE" w:rsidRPr="008829AE" w:rsidRDefault="008829AE" w:rsidP="00D03572">
            <w:pPr>
              <w:pStyle w:val="ListParagraph"/>
              <w:numPr>
                <w:ilvl w:val="0"/>
                <w:numId w:val="16"/>
              </w:numPr>
              <w:spacing w:after="0" w:line="240" w:lineRule="auto"/>
              <w:rPr>
                <w:rFonts w:ascii="Arial" w:hAnsi="Arial"/>
                <w:b/>
                <w:bCs/>
                <w:sz w:val="24"/>
                <w:szCs w:val="24"/>
              </w:rPr>
            </w:pPr>
            <w:r>
              <w:rPr>
                <w:rFonts w:ascii="Arial" w:hAnsi="Arial"/>
                <w:sz w:val="24"/>
                <w:szCs w:val="24"/>
              </w:rPr>
              <w:t>Tympanic membrane erythema (may be difficult to visualize if the ear canal is narrowed or filled with debris). Conductive hearing loss (less common).</w:t>
            </w:r>
          </w:p>
          <w:p w14:paraId="566E22BC" w14:textId="3FCE2218" w:rsidR="008829AE" w:rsidRPr="008829AE" w:rsidRDefault="008829AE" w:rsidP="00D03572">
            <w:pPr>
              <w:pStyle w:val="ListParagraph"/>
              <w:numPr>
                <w:ilvl w:val="0"/>
                <w:numId w:val="16"/>
              </w:numPr>
              <w:spacing w:after="0" w:line="240" w:lineRule="auto"/>
              <w:rPr>
                <w:rFonts w:ascii="Arial" w:hAnsi="Arial"/>
                <w:b/>
                <w:bCs/>
                <w:sz w:val="24"/>
                <w:szCs w:val="24"/>
              </w:rPr>
            </w:pPr>
            <w:r>
              <w:rPr>
                <w:rFonts w:ascii="Arial" w:hAnsi="Arial"/>
                <w:sz w:val="24"/>
                <w:szCs w:val="24"/>
              </w:rPr>
              <w:t>Tender regional lymphadenitis (less common).</w:t>
            </w:r>
          </w:p>
        </w:tc>
      </w:tr>
      <w:tr w:rsidR="00C96A2A" w:rsidRPr="006105C8" w14:paraId="4AD49E7C" w14:textId="77777777" w:rsidTr="00FD11AF">
        <w:tc>
          <w:tcPr>
            <w:tcW w:w="1367" w:type="pct"/>
            <w:shd w:val="clear" w:color="auto" w:fill="D9D9D9" w:themeFill="background1" w:themeFillShade="D9"/>
          </w:tcPr>
          <w:p w14:paraId="7BBD3439"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Exclusion criteria</w:t>
            </w:r>
          </w:p>
          <w:p w14:paraId="248961B9" w14:textId="77777777" w:rsidR="00C96A2A" w:rsidRPr="006105C8" w:rsidRDefault="00C96A2A" w:rsidP="002E5737">
            <w:pPr>
              <w:spacing w:after="0" w:line="240" w:lineRule="auto"/>
              <w:rPr>
                <w:rFonts w:ascii="Arial" w:eastAsia="Times New Roman" w:hAnsi="Arial" w:cs="Times New Roman"/>
                <w:b/>
                <w:bCs/>
                <w:sz w:val="24"/>
                <w:szCs w:val="24"/>
              </w:rPr>
            </w:pPr>
          </w:p>
        </w:tc>
        <w:tc>
          <w:tcPr>
            <w:tcW w:w="3633" w:type="pct"/>
          </w:tcPr>
          <w:p w14:paraId="3F582AEC" w14:textId="77777777" w:rsidR="00F42466"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No valid consent </w:t>
            </w:r>
          </w:p>
          <w:p w14:paraId="159840DD"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Children under 2 years of age</w:t>
            </w:r>
          </w:p>
          <w:p w14:paraId="118075C7"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Hypersensitivity to neomycin sulfate, dexamethasone, glacial acetic acid or to any of the excipients </w:t>
            </w:r>
          </w:p>
          <w:p w14:paraId="61525CD7"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Individuals with compromised immunity, severe infection, high risk of severe infection or systemically unwell consider referral as oral antibiotics may be indicated </w:t>
            </w:r>
          </w:p>
          <w:p w14:paraId="7C809E5B"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Individuals should be referred, and oral antibiotics considered if cellulitis spreads outside the ear canal.</w:t>
            </w:r>
          </w:p>
          <w:p w14:paraId="168B82BF"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Individuals with perforation of the tympanic membrane – acute or chronic or suspected fungal ear infection (creamy white debris in the external ear canal, black or white fungal spores)</w:t>
            </w:r>
          </w:p>
          <w:p w14:paraId="32288076"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Individuals with a patent grommet </w:t>
            </w:r>
          </w:p>
          <w:p w14:paraId="00EEC9A9"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Ear canal is occluded – refer for specialist advice </w:t>
            </w:r>
          </w:p>
          <w:p w14:paraId="22774B94"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Individuals with extreme pain or discomfort – refer to GP/OOH GP</w:t>
            </w:r>
          </w:p>
          <w:p w14:paraId="1C644164"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lastRenderedPageBreak/>
              <w:t xml:space="preserve">Individuals with considerable discharge or extensive swelling of the auditory canal, and micro suction or ear wick insertion is required </w:t>
            </w:r>
          </w:p>
          <w:p w14:paraId="3308AF23"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Individuals with a previous episode in the last three months </w:t>
            </w:r>
          </w:p>
          <w:p w14:paraId="7A66BA41"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Individuals with current episode where treatment with antibiotics has not been effective in managing their symptoms</w:t>
            </w:r>
          </w:p>
          <w:p w14:paraId="2BDD1955" w14:textId="05999D11"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Individuals presenting with mild symptoms or signs which would respond to appropriate analgesia and an over-the-counter preparation</w:t>
            </w:r>
          </w:p>
          <w:p w14:paraId="248C2079"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Pregnancy and breastfeeding</w:t>
            </w:r>
          </w:p>
          <w:p w14:paraId="4190AB3A"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Individuals with known mitochondrial mutations or a family history of ototoxicity </w:t>
            </w:r>
            <w:hyperlink r:id="rId14" w:history="1">
              <w:r w:rsidRPr="00C80056">
                <w:rPr>
                  <w:rStyle w:val="Hyperlink"/>
                  <w:rFonts w:ascii="Arial" w:hAnsi="Arial" w:cs="Arial"/>
                  <w:sz w:val="24"/>
                  <w:szCs w:val="24"/>
                </w:rPr>
                <w:t>https://www.gov.uk/drug-safety-update/aminoglycosides-gentamicin-amikacin-tobramycin-and-neomycin-increased-risk-of-deafness-in-patients-with-mitochondrial-mutations</w:t>
              </w:r>
            </w:hyperlink>
            <w:r>
              <w:rPr>
                <w:rFonts w:ascii="Arial" w:hAnsi="Arial" w:cs="Arial"/>
                <w:sz w:val="24"/>
                <w:szCs w:val="24"/>
              </w:rPr>
              <w:t xml:space="preserve"> </w:t>
            </w:r>
          </w:p>
          <w:p w14:paraId="7666F3DF" w14:textId="77777777" w:rsidR="008829AE" w:rsidRDefault="008829AE" w:rsidP="00D03572">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Chronic otitis externa – inflammations or symptoms which have lasted for more than 3 months </w:t>
            </w:r>
          </w:p>
          <w:p w14:paraId="0C204B04" w14:textId="77777777" w:rsidR="008829AE" w:rsidRDefault="008829AE" w:rsidP="00D03572">
            <w:pPr>
              <w:pStyle w:val="ListParagraph"/>
              <w:numPr>
                <w:ilvl w:val="0"/>
                <w:numId w:val="14"/>
              </w:numPr>
              <w:spacing w:after="0" w:line="240" w:lineRule="auto"/>
              <w:rPr>
                <w:rFonts w:ascii="Arial" w:hAnsi="Arial" w:cs="Arial"/>
                <w:sz w:val="24"/>
                <w:szCs w:val="24"/>
              </w:rPr>
            </w:pPr>
            <w:hyperlink r:id="rId15" w:anchor="malignant-otitis-externa" w:history="1">
              <w:r w:rsidRPr="00F36CB6">
                <w:rPr>
                  <w:rStyle w:val="Hyperlink"/>
                  <w:rFonts w:ascii="Arial" w:hAnsi="Arial" w:cs="Arial"/>
                  <w:sz w:val="24"/>
                  <w:szCs w:val="24"/>
                </w:rPr>
                <w:t>Malignant otitis externa</w:t>
              </w:r>
            </w:hyperlink>
            <w:r>
              <w:rPr>
                <w:rFonts w:ascii="Arial" w:hAnsi="Arial" w:cs="Arial"/>
                <w:sz w:val="24"/>
                <w:szCs w:val="24"/>
              </w:rPr>
              <w:t xml:space="preserve"> or a serious </w:t>
            </w:r>
            <w:hyperlink r:id="rId16" w:history="1">
              <w:r w:rsidRPr="00F36CB6">
                <w:rPr>
                  <w:rStyle w:val="Hyperlink"/>
                  <w:rFonts w:ascii="Arial" w:hAnsi="Arial" w:cs="Arial"/>
                  <w:sz w:val="24"/>
                  <w:szCs w:val="24"/>
                </w:rPr>
                <w:t>complication</w:t>
              </w:r>
            </w:hyperlink>
            <w:r>
              <w:rPr>
                <w:rFonts w:ascii="Arial" w:hAnsi="Arial" w:cs="Arial"/>
                <w:sz w:val="24"/>
                <w:szCs w:val="24"/>
              </w:rPr>
              <w:t xml:space="preserve"> is suspected – refer to GP/OOH GP</w:t>
            </w:r>
          </w:p>
          <w:p w14:paraId="4A576F19" w14:textId="77777777" w:rsidR="00F36CB6" w:rsidRDefault="00F36CB6" w:rsidP="00F36CB6">
            <w:pPr>
              <w:spacing w:after="0" w:line="240" w:lineRule="auto"/>
              <w:rPr>
                <w:rFonts w:ascii="Arial" w:hAnsi="Arial" w:cs="Arial"/>
                <w:sz w:val="24"/>
                <w:szCs w:val="24"/>
              </w:rPr>
            </w:pPr>
          </w:p>
          <w:p w14:paraId="6C2DD77C" w14:textId="77777777" w:rsidR="00F36CB6" w:rsidRDefault="00F36CB6" w:rsidP="00F36CB6">
            <w:pPr>
              <w:spacing w:after="0" w:line="240" w:lineRule="auto"/>
              <w:rPr>
                <w:rFonts w:ascii="Arial" w:hAnsi="Arial" w:cs="Arial"/>
                <w:b/>
                <w:bCs/>
                <w:sz w:val="24"/>
                <w:szCs w:val="24"/>
              </w:rPr>
            </w:pPr>
            <w:r>
              <w:rPr>
                <w:rFonts w:ascii="Arial" w:hAnsi="Arial" w:cs="Arial"/>
                <w:b/>
                <w:bCs/>
                <w:sz w:val="24"/>
                <w:szCs w:val="24"/>
              </w:rPr>
              <w:t>Red flags:</w:t>
            </w:r>
          </w:p>
          <w:p w14:paraId="7F6144EC" w14:textId="77777777" w:rsidR="00F36CB6" w:rsidRDefault="00F36CB6" w:rsidP="00D03572">
            <w:pPr>
              <w:pStyle w:val="ListParagraph"/>
              <w:numPr>
                <w:ilvl w:val="0"/>
                <w:numId w:val="17"/>
              </w:numPr>
              <w:spacing w:after="0" w:line="240" w:lineRule="auto"/>
              <w:rPr>
                <w:rFonts w:ascii="Arial" w:hAnsi="Arial" w:cs="Arial"/>
                <w:sz w:val="24"/>
                <w:szCs w:val="24"/>
              </w:rPr>
            </w:pPr>
            <w:r>
              <w:rPr>
                <w:rFonts w:ascii="Arial" w:hAnsi="Arial" w:cs="Arial"/>
                <w:sz w:val="24"/>
                <w:szCs w:val="24"/>
              </w:rPr>
              <w:t>Signs of sepsis (confusion, slurred speech or not making sense; blue, paly or blotchy skin, lips or tongue;, a rash that does not fade when you roll a glass over it; difficulty breathing, breathlessness or breathing very fast) – call 999 or direct the patient to go to A&amp;E</w:t>
            </w:r>
          </w:p>
          <w:p w14:paraId="7043E410" w14:textId="77777777" w:rsidR="00F36CB6" w:rsidRPr="00152338" w:rsidRDefault="00F36CB6" w:rsidP="00D03572">
            <w:pPr>
              <w:pStyle w:val="ListParagraph"/>
              <w:numPr>
                <w:ilvl w:val="0"/>
                <w:numId w:val="17"/>
              </w:numPr>
              <w:spacing w:after="0" w:line="240" w:lineRule="auto"/>
              <w:rPr>
                <w:rFonts w:ascii="Arial" w:hAnsi="Arial" w:cs="Arial"/>
                <w:sz w:val="24"/>
                <w:szCs w:val="24"/>
              </w:rPr>
            </w:pPr>
            <w:r>
              <w:rPr>
                <w:rFonts w:ascii="Arial" w:hAnsi="Arial" w:cs="Arial"/>
                <w:b/>
                <w:bCs/>
                <w:sz w:val="24"/>
                <w:szCs w:val="24"/>
              </w:rPr>
              <w:t>Patients with suspected malignant otitis</w:t>
            </w:r>
            <w:r w:rsidR="00152338">
              <w:rPr>
                <w:rFonts w:ascii="Arial" w:hAnsi="Arial" w:cs="Arial"/>
                <w:sz w:val="24"/>
                <w:szCs w:val="24"/>
              </w:rPr>
              <w:t xml:space="preserve"> (more likely in immunosuppressed and diabetic individuals) </w:t>
            </w:r>
            <w:r w:rsidR="00152338">
              <w:rPr>
                <w:rFonts w:ascii="Arial" w:hAnsi="Arial" w:cs="Arial"/>
                <w:b/>
                <w:bCs/>
                <w:sz w:val="24"/>
                <w:szCs w:val="24"/>
              </w:rPr>
              <w:t>– urgent hospital admission should be arranged</w:t>
            </w:r>
          </w:p>
          <w:p w14:paraId="5045BC96" w14:textId="77777777" w:rsidR="00152338" w:rsidRPr="00152338" w:rsidRDefault="00152338" w:rsidP="00D03572">
            <w:pPr>
              <w:pStyle w:val="ListParagraph"/>
              <w:numPr>
                <w:ilvl w:val="1"/>
                <w:numId w:val="17"/>
              </w:numPr>
              <w:spacing w:after="0" w:line="240" w:lineRule="auto"/>
              <w:rPr>
                <w:rFonts w:ascii="Arial" w:hAnsi="Arial" w:cs="Arial"/>
                <w:sz w:val="24"/>
                <w:szCs w:val="24"/>
              </w:rPr>
            </w:pPr>
            <w:r>
              <w:rPr>
                <w:rFonts w:ascii="Arial" w:hAnsi="Arial" w:cs="Arial"/>
                <w:b/>
                <w:bCs/>
                <w:sz w:val="24"/>
                <w:szCs w:val="24"/>
              </w:rPr>
              <w:t xml:space="preserve">Typical symptoms: </w:t>
            </w:r>
          </w:p>
          <w:p w14:paraId="3E014B86" w14:textId="77777777" w:rsidR="00152338"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 xml:space="preserve">Unremitting disproportionate ear pain, headache, purulent otorrhoea, fever or malaise </w:t>
            </w:r>
          </w:p>
          <w:p w14:paraId="4890579C" w14:textId="77777777" w:rsidR="00152338"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Vertigo</w:t>
            </w:r>
          </w:p>
          <w:p w14:paraId="0F3C61B9" w14:textId="77777777" w:rsidR="00152338"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Profound conductive hearing loss</w:t>
            </w:r>
          </w:p>
          <w:p w14:paraId="0C0CD8CB" w14:textId="77777777" w:rsidR="00152338" w:rsidRPr="00152338" w:rsidRDefault="00152338" w:rsidP="00D03572">
            <w:pPr>
              <w:pStyle w:val="ListParagraph"/>
              <w:numPr>
                <w:ilvl w:val="1"/>
                <w:numId w:val="17"/>
              </w:numPr>
              <w:spacing w:after="0" w:line="240" w:lineRule="auto"/>
              <w:rPr>
                <w:rFonts w:ascii="Arial" w:hAnsi="Arial" w:cs="Arial"/>
                <w:sz w:val="24"/>
                <w:szCs w:val="24"/>
              </w:rPr>
            </w:pPr>
            <w:r>
              <w:rPr>
                <w:rFonts w:ascii="Arial" w:hAnsi="Arial" w:cs="Arial"/>
                <w:b/>
                <w:bCs/>
                <w:sz w:val="24"/>
                <w:szCs w:val="24"/>
              </w:rPr>
              <w:t>Typical signs:</w:t>
            </w:r>
          </w:p>
          <w:p w14:paraId="05A8EE90" w14:textId="77777777" w:rsidR="00152338"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Systemically unwell, high fever</w:t>
            </w:r>
          </w:p>
          <w:p w14:paraId="1342BC44" w14:textId="77777777" w:rsidR="00152338"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Granulation tissue seen on the floor of the ear canal and at the bone-cartilage junction, exposed bone in the ear canal.</w:t>
            </w:r>
          </w:p>
          <w:p w14:paraId="69BE767E" w14:textId="35FB4552" w:rsidR="00152338" w:rsidRPr="00F36CB6" w:rsidRDefault="00152338" w:rsidP="00D03572">
            <w:pPr>
              <w:pStyle w:val="ListParagraph"/>
              <w:numPr>
                <w:ilvl w:val="2"/>
                <w:numId w:val="17"/>
              </w:numPr>
              <w:spacing w:after="0" w:line="240" w:lineRule="auto"/>
              <w:rPr>
                <w:rFonts w:ascii="Arial" w:hAnsi="Arial" w:cs="Arial"/>
                <w:sz w:val="24"/>
                <w:szCs w:val="24"/>
              </w:rPr>
            </w:pPr>
            <w:r>
              <w:rPr>
                <w:rFonts w:ascii="Arial" w:hAnsi="Arial" w:cs="Arial"/>
                <w:sz w:val="24"/>
                <w:szCs w:val="24"/>
              </w:rPr>
              <w:t>Ipsilateral facial nerve palsy</w:t>
            </w:r>
          </w:p>
        </w:tc>
      </w:tr>
      <w:tr w:rsidR="00C96A2A" w:rsidRPr="006105C8" w14:paraId="1AC611BA" w14:textId="77777777" w:rsidTr="00FD11AF">
        <w:tc>
          <w:tcPr>
            <w:tcW w:w="1367" w:type="pct"/>
            <w:shd w:val="clear" w:color="auto" w:fill="D9D9D9" w:themeFill="background1" w:themeFillShade="D9"/>
          </w:tcPr>
          <w:p w14:paraId="59D0C54D" w14:textId="77777777" w:rsidR="00C96A2A" w:rsidRPr="006105C8" w:rsidRDefault="00C96A2A" w:rsidP="002E5737">
            <w:pPr>
              <w:spacing w:after="0" w:line="240" w:lineRule="auto"/>
              <w:rPr>
                <w:rFonts w:ascii="Arial" w:eastAsia="Times New Roman" w:hAnsi="Arial" w:cs="Times New Roman"/>
                <w:b/>
                <w:sz w:val="24"/>
                <w:szCs w:val="24"/>
              </w:rPr>
            </w:pPr>
            <w:r w:rsidRPr="00D82B1B">
              <w:rPr>
                <w:rFonts w:ascii="Arial" w:eastAsia="Times New Roman" w:hAnsi="Arial" w:cs="Times New Roman"/>
                <w:b/>
                <w:sz w:val="24"/>
                <w:szCs w:val="24"/>
              </w:rPr>
              <w:t>Cautions/Need for further advice</w:t>
            </w:r>
          </w:p>
          <w:p w14:paraId="392DF50A" w14:textId="77777777" w:rsidR="00C96A2A" w:rsidRPr="006105C8" w:rsidRDefault="00C96A2A" w:rsidP="002E5737">
            <w:pPr>
              <w:spacing w:after="0" w:line="240" w:lineRule="auto"/>
              <w:rPr>
                <w:rFonts w:ascii="Arial" w:eastAsia="Times New Roman" w:hAnsi="Arial" w:cs="Times New Roman"/>
                <w:b/>
                <w:sz w:val="24"/>
                <w:szCs w:val="24"/>
              </w:rPr>
            </w:pPr>
          </w:p>
          <w:p w14:paraId="6CAA7445" w14:textId="77777777" w:rsidR="00C96A2A" w:rsidRPr="006105C8" w:rsidRDefault="00C96A2A" w:rsidP="00B73482">
            <w:pPr>
              <w:tabs>
                <w:tab w:val="center" w:pos="4153"/>
                <w:tab w:val="right" w:pos="8306"/>
              </w:tabs>
              <w:spacing w:after="0" w:line="240" w:lineRule="auto"/>
              <w:rPr>
                <w:rFonts w:ascii="Arial" w:eastAsia="Times New Roman" w:hAnsi="Arial" w:cs="Times New Roman"/>
                <w:b/>
                <w:sz w:val="24"/>
                <w:szCs w:val="24"/>
              </w:rPr>
            </w:pPr>
          </w:p>
        </w:tc>
        <w:tc>
          <w:tcPr>
            <w:tcW w:w="3633" w:type="pct"/>
          </w:tcPr>
          <w:p w14:paraId="7D020F95" w14:textId="77777777" w:rsidR="00152338" w:rsidRDefault="00152338"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eastAsia="Times New Roman" w:hAnsi="Arial" w:cs="Times New Roman"/>
                <w:bCs/>
                <w:sz w:val="24"/>
                <w:szCs w:val="24"/>
              </w:rPr>
              <w:t>Ear swabs for microbiology are rarely helpful in primary care and not indicated for non-complicated otitis externa.</w:t>
            </w:r>
          </w:p>
          <w:p w14:paraId="2FDB177E" w14:textId="77777777" w:rsidR="00152338" w:rsidRDefault="00152338"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eastAsia="Times New Roman" w:hAnsi="Arial" w:cs="Times New Roman"/>
                <w:bCs/>
                <w:sz w:val="24"/>
                <w:szCs w:val="24"/>
              </w:rPr>
              <w:t>The PGD is not intended to replace self-care and purchase of OTC medicines but offers an alternative or additional option where clinically appropriate.</w:t>
            </w:r>
          </w:p>
          <w:p w14:paraId="2A983D28" w14:textId="10C15EAB" w:rsidR="00152338" w:rsidRDefault="00152338"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eastAsia="Times New Roman" w:hAnsi="Arial" w:cs="Times New Roman"/>
                <w:bCs/>
                <w:sz w:val="24"/>
                <w:szCs w:val="24"/>
              </w:rPr>
              <w:lastRenderedPageBreak/>
              <w:t xml:space="preserve">First line treatment is analgesia for pain relief, keeping the ears clean and dry and consider offering use of </w:t>
            </w:r>
            <w:r w:rsidR="00AC197F">
              <w:rPr>
                <w:rFonts w:ascii="Arial" w:eastAsia="Times New Roman" w:hAnsi="Arial" w:cs="Times New Roman"/>
                <w:bCs/>
                <w:sz w:val="24"/>
                <w:szCs w:val="24"/>
              </w:rPr>
              <w:t>over-the-counter</w:t>
            </w:r>
            <w:r>
              <w:rPr>
                <w:rFonts w:ascii="Arial" w:eastAsia="Times New Roman" w:hAnsi="Arial" w:cs="Times New Roman"/>
                <w:bCs/>
                <w:sz w:val="24"/>
                <w:szCs w:val="24"/>
              </w:rPr>
              <w:t xml:space="preserve"> acetic acid 2% ear drops or spray for people aged 12 years and over </w:t>
            </w:r>
          </w:p>
          <w:p w14:paraId="2C529899" w14:textId="018084A1" w:rsidR="00152338" w:rsidRDefault="00985EC5"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hAnsi="Arial" w:cs="Arial"/>
                <w:color w:val="000000" w:themeColor="text1"/>
                <w:sz w:val="24"/>
                <w:szCs w:val="28"/>
              </w:rPr>
              <w:t xml:space="preserve">Neomycin/dexamethasone/acetic acid ear spray </w:t>
            </w:r>
            <w:r w:rsidR="00152338">
              <w:rPr>
                <w:rFonts w:ascii="Arial" w:eastAsia="Times New Roman" w:hAnsi="Arial" w:cs="Times New Roman"/>
                <w:bCs/>
                <w:sz w:val="24"/>
                <w:szCs w:val="24"/>
              </w:rPr>
              <w:t xml:space="preserve">contains methyl and propyl </w:t>
            </w:r>
            <w:proofErr w:type="spellStart"/>
            <w:r w:rsidR="00152338">
              <w:rPr>
                <w:rFonts w:ascii="Arial" w:eastAsia="Times New Roman" w:hAnsi="Arial" w:cs="Times New Roman"/>
                <w:bCs/>
                <w:sz w:val="24"/>
                <w:szCs w:val="24"/>
              </w:rPr>
              <w:t>hydryoxybenzoates</w:t>
            </w:r>
            <w:proofErr w:type="spellEnd"/>
            <w:r w:rsidR="00152338">
              <w:rPr>
                <w:rFonts w:ascii="Arial" w:eastAsia="Times New Roman" w:hAnsi="Arial" w:cs="Times New Roman"/>
                <w:bCs/>
                <w:sz w:val="24"/>
                <w:szCs w:val="24"/>
              </w:rPr>
              <w:t xml:space="preserve"> (W218 and E216) which may cause allergic reactions (possibly delayed)</w:t>
            </w:r>
          </w:p>
          <w:p w14:paraId="39BE2AC7" w14:textId="7C230AAC" w:rsidR="00152338" w:rsidRDefault="00985EC5"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hAnsi="Arial" w:cs="Arial"/>
                <w:color w:val="000000" w:themeColor="text1"/>
                <w:sz w:val="24"/>
                <w:szCs w:val="28"/>
              </w:rPr>
              <w:t xml:space="preserve">Neomycin/dexamethasone/acetic acid ear spray </w:t>
            </w:r>
            <w:r w:rsidR="00152338">
              <w:rPr>
                <w:rFonts w:ascii="Arial" w:eastAsia="Times New Roman" w:hAnsi="Arial" w:cs="Times New Roman"/>
                <w:bCs/>
                <w:sz w:val="24"/>
                <w:szCs w:val="24"/>
              </w:rPr>
              <w:t>contains stearyl alcohol which may cause local skin reactions (e.g., contact dermatitis)</w:t>
            </w:r>
          </w:p>
          <w:p w14:paraId="4E151B53" w14:textId="5FC115B1" w:rsidR="00152338" w:rsidRPr="00152338" w:rsidRDefault="00152338" w:rsidP="00D03572">
            <w:pPr>
              <w:pStyle w:val="ListParagraph"/>
              <w:widowControl w:val="0"/>
              <w:numPr>
                <w:ilvl w:val="0"/>
                <w:numId w:val="11"/>
              </w:numPr>
              <w:overflowPunct w:val="0"/>
              <w:adjustRightInd w:val="0"/>
              <w:spacing w:after="0" w:line="240" w:lineRule="auto"/>
              <w:rPr>
                <w:rFonts w:ascii="Arial" w:eastAsia="Times New Roman" w:hAnsi="Arial" w:cs="Times New Roman"/>
                <w:bCs/>
                <w:sz w:val="24"/>
                <w:szCs w:val="24"/>
              </w:rPr>
            </w:pPr>
            <w:r>
              <w:rPr>
                <w:rFonts w:ascii="Arial" w:eastAsia="Times New Roman" w:hAnsi="Arial" w:cs="Times New Roman"/>
                <w:bCs/>
                <w:sz w:val="24"/>
                <w:szCs w:val="24"/>
              </w:rPr>
              <w:t xml:space="preserve">Visual disturbance: visual disturbance may be reported with systemic and topical corticosteroid use. If a patient presents with symptoms such as blurred vision or other visual disturbances, the patient should be referred. </w:t>
            </w:r>
          </w:p>
        </w:tc>
      </w:tr>
      <w:tr w:rsidR="00C96A2A" w:rsidRPr="006105C8" w14:paraId="6CD973F5" w14:textId="77777777" w:rsidTr="00FD11AF">
        <w:tc>
          <w:tcPr>
            <w:tcW w:w="1367" w:type="pct"/>
            <w:shd w:val="clear" w:color="auto" w:fill="D9D9D9" w:themeFill="background1" w:themeFillShade="D9"/>
          </w:tcPr>
          <w:p w14:paraId="3BA2C67E"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 xml:space="preserve">Action to be taken for patients excluded from, declining or not adhering to the treatment </w:t>
            </w:r>
          </w:p>
        </w:tc>
        <w:tc>
          <w:tcPr>
            <w:tcW w:w="3633" w:type="pct"/>
          </w:tcPr>
          <w:p w14:paraId="17C55628" w14:textId="79F2982E" w:rsidR="00791442" w:rsidRDefault="00B939AA"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Explain the reasons</w:t>
            </w:r>
            <w:r w:rsidR="00563417">
              <w:rPr>
                <w:rFonts w:ascii="Arial" w:eastAsia="Times New Roman" w:hAnsi="Arial" w:cs="Times New Roman"/>
                <w:sz w:val="24"/>
                <w:szCs w:val="24"/>
              </w:rPr>
              <w:t xml:space="preserve"> for exclusion to the </w:t>
            </w:r>
            <w:r w:rsidR="00AC1311">
              <w:rPr>
                <w:rFonts w:ascii="Arial" w:eastAsia="Times New Roman" w:hAnsi="Arial" w:cs="Times New Roman"/>
                <w:sz w:val="24"/>
                <w:szCs w:val="24"/>
              </w:rPr>
              <w:t xml:space="preserve">patient/carer for young children </w:t>
            </w:r>
            <w:r w:rsidR="00563417">
              <w:rPr>
                <w:rFonts w:ascii="Arial" w:eastAsia="Times New Roman" w:hAnsi="Arial" w:cs="Times New Roman"/>
                <w:sz w:val="24"/>
                <w:szCs w:val="24"/>
              </w:rPr>
              <w:t>and document in the consultation record.</w:t>
            </w:r>
          </w:p>
          <w:p w14:paraId="084D2588" w14:textId="26AEB668" w:rsidR="00464A3C" w:rsidRPr="00012FE4" w:rsidRDefault="00563417"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If the </w:t>
            </w:r>
            <w:r w:rsidR="00AC1311">
              <w:rPr>
                <w:rFonts w:ascii="Arial" w:eastAsia="Times New Roman" w:hAnsi="Arial" w:cs="Times New Roman"/>
                <w:sz w:val="24"/>
                <w:szCs w:val="24"/>
              </w:rPr>
              <w:t>patient/carer of the young child</w:t>
            </w:r>
            <w:r>
              <w:rPr>
                <w:rFonts w:ascii="Arial" w:eastAsia="Times New Roman" w:hAnsi="Arial" w:cs="Times New Roman"/>
                <w:sz w:val="24"/>
                <w:szCs w:val="24"/>
              </w:rPr>
              <w:t xml:space="preserve"> declines</w:t>
            </w:r>
            <w:r w:rsidR="00C11D4D">
              <w:rPr>
                <w:rFonts w:ascii="Arial" w:eastAsia="Times New Roman" w:hAnsi="Arial" w:cs="Times New Roman"/>
                <w:sz w:val="24"/>
                <w:szCs w:val="24"/>
              </w:rPr>
              <w:t xml:space="preserve"> on behalf</w:t>
            </w:r>
            <w:r>
              <w:rPr>
                <w:rFonts w:ascii="Arial" w:eastAsia="Times New Roman" w:hAnsi="Arial" w:cs="Times New Roman"/>
                <w:sz w:val="24"/>
                <w:szCs w:val="24"/>
              </w:rPr>
              <w:t>, record the reason</w:t>
            </w:r>
            <w:r w:rsidR="00E3176F">
              <w:rPr>
                <w:rFonts w:ascii="Arial" w:eastAsia="Times New Roman" w:hAnsi="Arial" w:cs="Times New Roman"/>
                <w:sz w:val="24"/>
                <w:szCs w:val="24"/>
              </w:rPr>
              <w:t xml:space="preserve"> and advise of the consequences of not receiving treatment</w:t>
            </w:r>
            <w:r w:rsidR="00464A3C">
              <w:rPr>
                <w:rFonts w:ascii="Arial" w:eastAsia="Times New Roman" w:hAnsi="Arial" w:cs="Times New Roman"/>
                <w:sz w:val="24"/>
                <w:szCs w:val="24"/>
              </w:rPr>
              <w:t xml:space="preserve">. Document the advice given alongside details of any referral made and the </w:t>
            </w:r>
            <w:r w:rsidR="00AC1311">
              <w:rPr>
                <w:rFonts w:ascii="Arial" w:eastAsia="Times New Roman" w:hAnsi="Arial" w:cs="Times New Roman"/>
                <w:sz w:val="24"/>
                <w:szCs w:val="24"/>
              </w:rPr>
              <w:t>patient/</w:t>
            </w:r>
            <w:r w:rsidR="00464A3C">
              <w:rPr>
                <w:rFonts w:ascii="Arial" w:eastAsia="Times New Roman" w:hAnsi="Arial" w:cs="Times New Roman"/>
                <w:sz w:val="24"/>
                <w:szCs w:val="24"/>
              </w:rPr>
              <w:t>carers intended actions.</w:t>
            </w:r>
          </w:p>
          <w:p w14:paraId="78579584" w14:textId="77777777" w:rsidR="00012FE4" w:rsidRDefault="00464A3C"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Where there are safeguarding concerns, seek advice from local safeguarding services.</w:t>
            </w:r>
          </w:p>
          <w:p w14:paraId="5AE128B6" w14:textId="77777777" w:rsidR="003959B6" w:rsidRDefault="003959B6"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Advise patient on alternative treatment including OTC acetic acid 2% ear spray (for people aged 12 years and over)</w:t>
            </w:r>
          </w:p>
          <w:p w14:paraId="3909F511" w14:textId="77777777" w:rsidR="003959B6" w:rsidRDefault="003959B6"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Refer to a prescriber if appropriate</w:t>
            </w:r>
          </w:p>
          <w:p w14:paraId="2D03261A" w14:textId="031D1422" w:rsidR="0075667C" w:rsidRPr="003959B6" w:rsidRDefault="0075667C" w:rsidP="00D03572">
            <w:pPr>
              <w:numPr>
                <w:ilvl w:val="0"/>
                <w:numId w:val="1"/>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Give safety netting advice </w:t>
            </w:r>
          </w:p>
        </w:tc>
      </w:tr>
      <w:tr w:rsidR="00C96A2A" w:rsidRPr="006105C8" w14:paraId="7A111CDE" w14:textId="77777777" w:rsidTr="00FD11AF">
        <w:tc>
          <w:tcPr>
            <w:tcW w:w="1367" w:type="pct"/>
            <w:shd w:val="clear" w:color="auto" w:fill="D9D9D9" w:themeFill="background1" w:themeFillShade="D9"/>
          </w:tcPr>
          <w:p w14:paraId="6D4266E7"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Advice to be given to patient or carer</w:t>
            </w:r>
          </w:p>
          <w:p w14:paraId="27729126" w14:textId="77777777" w:rsidR="00C96A2A" w:rsidRPr="006105C8" w:rsidRDefault="00C96A2A" w:rsidP="002E5737">
            <w:pPr>
              <w:spacing w:after="0" w:line="240" w:lineRule="auto"/>
              <w:rPr>
                <w:rFonts w:ascii="Arial" w:eastAsia="Times New Roman" w:hAnsi="Arial" w:cs="Times New Roman"/>
                <w:b/>
                <w:i/>
                <w:iCs/>
                <w:sz w:val="24"/>
                <w:szCs w:val="24"/>
              </w:rPr>
            </w:pPr>
          </w:p>
        </w:tc>
        <w:tc>
          <w:tcPr>
            <w:tcW w:w="3633" w:type="pct"/>
          </w:tcPr>
          <w:p w14:paraId="751ABFE0" w14:textId="17262C01" w:rsidR="00AC1311" w:rsidRDefault="00AC1311"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 </w:t>
            </w:r>
            <w:r w:rsidR="0075667C">
              <w:rPr>
                <w:rFonts w:ascii="Arial" w:eastAsia="Times New Roman" w:hAnsi="Arial" w:cs="Times New Roman"/>
                <w:sz w:val="24"/>
                <w:szCs w:val="24"/>
              </w:rPr>
              <w:t>Inform the patient/carer of treatment, possible side effects and their management.</w:t>
            </w:r>
          </w:p>
          <w:p w14:paraId="78DAC7BC"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The patient/carer should be advised to seek medical advice in the event of an adverse reaction.</w:t>
            </w:r>
          </w:p>
          <w:p w14:paraId="35507C9D" w14:textId="1CD582B1" w:rsidR="00120945" w:rsidRDefault="00120945"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Any unused medicine should be returned to the pharmacy for disposal.</w:t>
            </w:r>
          </w:p>
          <w:p w14:paraId="15523A2B"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Advise patient/carer on self-care measures for symptom relief and to reduce risk of recurrent infection</w:t>
            </w:r>
          </w:p>
          <w:p w14:paraId="3CD45AF7"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Avoid damage to the external ear canal:</w:t>
            </w:r>
          </w:p>
          <w:p w14:paraId="1C60E858" w14:textId="77777777" w:rsidR="0075667C" w:rsidRDefault="0075667C" w:rsidP="00D03572">
            <w:pPr>
              <w:pStyle w:val="ListParagraph"/>
              <w:numPr>
                <w:ilvl w:val="1"/>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Troublesome ear wax should be removed safely to avoid damaging the ear canal. Cotton buds or other objects should not be used to clean the ear canal.</w:t>
            </w:r>
          </w:p>
          <w:p w14:paraId="20D0FB9E"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Advise on options for analgesia such as paracetamol; or ibuprofen for symptom pain relief.</w:t>
            </w:r>
          </w:p>
          <w:p w14:paraId="01CF72B8"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Keep the ears clean and dry</w:t>
            </w:r>
          </w:p>
          <w:p w14:paraId="0B9E8945"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Avoid swimming and water sports for at least 7-10 days during treatment.</w:t>
            </w:r>
          </w:p>
          <w:p w14:paraId="1843DBDC"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Use ear plugs and/or tight-fitting cap when swimming.</w:t>
            </w:r>
          </w:p>
          <w:p w14:paraId="6981CB86"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lastRenderedPageBreak/>
              <w:t>Keep shampoo, soap and water out of the ear when bathing and showering, for example by inserting ear plugs or cotton wool (with petroleum jelly)</w:t>
            </w:r>
          </w:p>
          <w:p w14:paraId="5C11CA3C"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Consider using a hair dryer (at the lowest heat setting) to dry the ear canal after hair washing, bathing or swimming </w:t>
            </w:r>
          </w:p>
          <w:p w14:paraId="48D9F961"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Advise patient/carer on managing any underlying causes or risk factors including associated skin conditions, where possible.</w:t>
            </w:r>
          </w:p>
          <w:p w14:paraId="2B06013D" w14:textId="77777777"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If the person is allergic or has contact sensitivity to ear drops such as neomycin, ear plugs, hearing aids, or earrings, they should avoid use, or use alternatives where available (such as hypoallergenic hearing aids)</w:t>
            </w:r>
          </w:p>
          <w:p w14:paraId="2414CAE0" w14:textId="06E789DB" w:rsidR="0075667C"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Advise if they forget to use </w:t>
            </w:r>
            <w:r w:rsidR="00985EC5">
              <w:rPr>
                <w:rFonts w:ascii="Arial" w:hAnsi="Arial" w:cs="Arial"/>
                <w:color w:val="000000" w:themeColor="text1"/>
                <w:sz w:val="24"/>
                <w:szCs w:val="28"/>
              </w:rPr>
              <w:t xml:space="preserve">Neomycin/dexamethasone/acetic acid ear spray </w:t>
            </w:r>
            <w:r>
              <w:rPr>
                <w:rFonts w:ascii="Arial" w:eastAsia="Times New Roman" w:hAnsi="Arial" w:cs="Times New Roman"/>
                <w:sz w:val="24"/>
                <w:szCs w:val="24"/>
              </w:rPr>
              <w:t>not to worry and to use as soon as they remember, then continue as before.</w:t>
            </w:r>
          </w:p>
          <w:p w14:paraId="08608669" w14:textId="332A7869" w:rsidR="0075667C" w:rsidRPr="00465DC3" w:rsidRDefault="0075667C" w:rsidP="00D03572">
            <w:pPr>
              <w:pStyle w:val="ListParagraph"/>
              <w:numPr>
                <w:ilvl w:val="0"/>
                <w:numId w:val="12"/>
              </w:numPr>
              <w:spacing w:after="0" w:line="240" w:lineRule="auto"/>
              <w:rPr>
                <w:rFonts w:ascii="Arial" w:eastAsia="Times New Roman" w:hAnsi="Arial" w:cs="Times New Roman"/>
                <w:sz w:val="24"/>
                <w:szCs w:val="24"/>
              </w:rPr>
            </w:pPr>
            <w:r>
              <w:rPr>
                <w:rFonts w:ascii="Arial" w:eastAsia="Times New Roman" w:hAnsi="Arial" w:cs="Times New Roman"/>
                <w:sz w:val="24"/>
                <w:szCs w:val="24"/>
              </w:rPr>
              <w:t>Provide safety netting advice and advise individual to seek advice from a healthcare professional if symptoms are not improving within 48-72 hours of starting treatment or if symptoms have not fully resolved after 2 weeks of starting treatment. Explain they should seek urgent medical advice if they develop signs of sepsis (signs include acting confused, slurred speech or not making sense; blue, pale or blotchy skin, lips or tongue; a rash that dose not fade when you roll a glass over it; difficult breathing, breathlessness or breathing very fast).</w:t>
            </w:r>
          </w:p>
        </w:tc>
      </w:tr>
      <w:tr w:rsidR="00C96A2A" w:rsidRPr="006105C8" w14:paraId="5452ECB0" w14:textId="77777777" w:rsidTr="00FD11AF">
        <w:tc>
          <w:tcPr>
            <w:tcW w:w="1367" w:type="pct"/>
            <w:shd w:val="clear" w:color="auto" w:fill="D9D9D9" w:themeFill="background1" w:themeFillShade="D9"/>
          </w:tcPr>
          <w:p w14:paraId="7D8D6FB9"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Referral arrangements</w:t>
            </w:r>
          </w:p>
        </w:tc>
        <w:tc>
          <w:tcPr>
            <w:tcW w:w="3633" w:type="pct"/>
          </w:tcPr>
          <w:p w14:paraId="0FF11793" w14:textId="27B96F2A" w:rsidR="001B40D5" w:rsidRPr="001B40D5" w:rsidRDefault="001B40D5" w:rsidP="00D03572">
            <w:pPr>
              <w:numPr>
                <w:ilvl w:val="0"/>
                <w:numId w:val="10"/>
              </w:numPr>
              <w:spacing w:after="0" w:line="240" w:lineRule="auto"/>
              <w:rPr>
                <w:rFonts w:ascii="Arial" w:eastAsia="Times New Roman" w:hAnsi="Arial" w:cs="Times New Roman"/>
                <w:sz w:val="24"/>
                <w:szCs w:val="24"/>
              </w:rPr>
            </w:pPr>
            <w:r>
              <w:rPr>
                <w:rFonts w:ascii="Arial" w:eastAsia="Times New Roman" w:hAnsi="Arial" w:cs="Arial"/>
                <w:sz w:val="24"/>
                <w:szCs w:val="24"/>
              </w:rPr>
              <w:t>Seek their GP</w:t>
            </w:r>
            <w:r w:rsidR="00465DC3">
              <w:rPr>
                <w:rFonts w:ascii="Arial" w:eastAsia="Times New Roman" w:hAnsi="Arial" w:cs="Arial"/>
                <w:sz w:val="24"/>
                <w:szCs w:val="24"/>
              </w:rPr>
              <w:t xml:space="preserve"> or medical advice if symptoms persist or if there is no improvement following treatment</w:t>
            </w:r>
          </w:p>
          <w:p w14:paraId="2E7BE65F" w14:textId="77777777" w:rsidR="001B40D5" w:rsidRPr="00465DC3" w:rsidRDefault="001B40D5" w:rsidP="00D03572">
            <w:pPr>
              <w:numPr>
                <w:ilvl w:val="0"/>
                <w:numId w:val="10"/>
              </w:numPr>
              <w:spacing w:after="0" w:line="240" w:lineRule="auto"/>
              <w:rPr>
                <w:rFonts w:ascii="Arial" w:eastAsia="Times New Roman" w:hAnsi="Arial" w:cs="Times New Roman"/>
                <w:sz w:val="24"/>
                <w:szCs w:val="24"/>
              </w:rPr>
            </w:pPr>
            <w:r>
              <w:rPr>
                <w:rFonts w:ascii="Arial" w:eastAsia="Times New Roman" w:hAnsi="Arial" w:cs="Arial"/>
                <w:sz w:val="24"/>
                <w:szCs w:val="24"/>
              </w:rPr>
              <w:t>Seek medical advice if the condition deteriorates or they become systemically unwell</w:t>
            </w:r>
          </w:p>
          <w:p w14:paraId="54B8E5C0" w14:textId="18211673" w:rsidR="00465DC3" w:rsidRPr="001B40D5" w:rsidRDefault="00465DC3" w:rsidP="00D03572">
            <w:pPr>
              <w:numPr>
                <w:ilvl w:val="0"/>
                <w:numId w:val="10"/>
              </w:numPr>
              <w:spacing w:after="0" w:line="240" w:lineRule="auto"/>
              <w:rPr>
                <w:rFonts w:ascii="Arial" w:eastAsia="Times New Roman" w:hAnsi="Arial" w:cs="Times New Roman"/>
                <w:sz w:val="24"/>
                <w:szCs w:val="24"/>
              </w:rPr>
            </w:pPr>
            <w:r>
              <w:rPr>
                <w:rFonts w:ascii="Arial" w:eastAsia="Times New Roman" w:hAnsi="Arial" w:cs="Arial"/>
                <w:sz w:val="24"/>
                <w:szCs w:val="24"/>
              </w:rPr>
              <w:t>Clinical information should be sent to the patient’s GP in accordance with local protocols.</w:t>
            </w:r>
          </w:p>
        </w:tc>
      </w:tr>
    </w:tbl>
    <w:p w14:paraId="0C4EF209" w14:textId="77777777" w:rsidR="00C96A2A" w:rsidRPr="006105C8" w:rsidRDefault="00C96A2A" w:rsidP="00C96A2A">
      <w:pPr>
        <w:pStyle w:val="ListParagraph"/>
        <w:ind w:left="360"/>
        <w:rPr>
          <w:rFonts w:ascii="Arial" w:hAnsi="Arial" w:cs="Arial"/>
          <w:b/>
          <w:bCs/>
          <w:sz w:val="24"/>
          <w:szCs w:val="24"/>
        </w:rPr>
      </w:pPr>
    </w:p>
    <w:p w14:paraId="4BA7EB6E" w14:textId="77777777" w:rsidR="00C96A2A" w:rsidRPr="006105C8" w:rsidRDefault="00C96A2A" w:rsidP="00D03572">
      <w:pPr>
        <w:pStyle w:val="ListParagraph"/>
        <w:numPr>
          <w:ilvl w:val="0"/>
          <w:numId w:val="4"/>
        </w:numPr>
        <w:rPr>
          <w:rFonts w:ascii="Arial" w:hAnsi="Arial" w:cs="Arial"/>
          <w:b/>
          <w:bCs/>
          <w:sz w:val="24"/>
          <w:szCs w:val="24"/>
        </w:rPr>
      </w:pPr>
      <w:r w:rsidRPr="006105C8">
        <w:rPr>
          <w:rFonts w:ascii="Arial" w:hAnsi="Arial" w:cs="Arial"/>
          <w:b/>
          <w:bCs/>
          <w:sz w:val="24"/>
          <w:szCs w:val="24"/>
        </w:rPr>
        <w:t>Description of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6399"/>
      </w:tblGrid>
      <w:tr w:rsidR="00C96A2A" w:rsidRPr="006105C8" w14:paraId="53B2F993" w14:textId="77777777" w:rsidTr="00FD11AF">
        <w:tc>
          <w:tcPr>
            <w:tcW w:w="1367" w:type="pct"/>
            <w:shd w:val="clear" w:color="auto" w:fill="D9D9D9" w:themeFill="background1" w:themeFillShade="D9"/>
          </w:tcPr>
          <w:p w14:paraId="03FFC297"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Medicine name, strength and formulation of drug</w:t>
            </w:r>
          </w:p>
        </w:tc>
        <w:tc>
          <w:tcPr>
            <w:tcW w:w="3633" w:type="pct"/>
          </w:tcPr>
          <w:p w14:paraId="419030F5" w14:textId="2298F821" w:rsidR="003A324A" w:rsidRPr="006105C8" w:rsidRDefault="00985EC5" w:rsidP="00C96A2A">
            <w:pPr>
              <w:pStyle w:val="CommentText"/>
              <w:rPr>
                <w:rFonts w:ascii="Arial" w:hAnsi="Arial"/>
                <w:b/>
                <w:bCs/>
                <w:sz w:val="24"/>
                <w:szCs w:val="24"/>
              </w:rPr>
            </w:pPr>
            <w:r>
              <w:rPr>
                <w:rFonts w:ascii="Arial" w:hAnsi="Arial"/>
                <w:b/>
                <w:bCs/>
                <w:sz w:val="24"/>
                <w:szCs w:val="24"/>
              </w:rPr>
              <w:t>Neomycin/dexamethasone/acetic acid</w:t>
            </w:r>
            <w:r w:rsidR="00120945">
              <w:rPr>
                <w:rFonts w:ascii="Arial" w:hAnsi="Arial"/>
                <w:b/>
                <w:bCs/>
                <w:sz w:val="24"/>
                <w:szCs w:val="24"/>
              </w:rPr>
              <w:t xml:space="preserve"> ear spray </w:t>
            </w:r>
            <w:r>
              <w:rPr>
                <w:rFonts w:ascii="Arial" w:hAnsi="Arial"/>
                <w:b/>
                <w:bCs/>
                <w:sz w:val="24"/>
                <w:szCs w:val="24"/>
              </w:rPr>
              <w:t xml:space="preserve">(previously known as </w:t>
            </w:r>
            <w:proofErr w:type="spellStart"/>
            <w:r>
              <w:rPr>
                <w:rFonts w:ascii="Arial" w:hAnsi="Arial"/>
                <w:b/>
                <w:bCs/>
                <w:sz w:val="24"/>
                <w:szCs w:val="24"/>
              </w:rPr>
              <w:t>Otomize</w:t>
            </w:r>
            <w:proofErr w:type="spellEnd"/>
            <w:r w:rsidRPr="00985EC5">
              <w:rPr>
                <w:rFonts w:ascii="Arial" w:hAnsi="Arial"/>
                <w:b/>
                <w:bCs/>
                <w:sz w:val="24"/>
                <w:szCs w:val="24"/>
                <w:vertAlign w:val="superscript"/>
              </w:rPr>
              <w:t>®</w:t>
            </w:r>
            <w:r>
              <w:rPr>
                <w:rFonts w:ascii="Arial" w:hAnsi="Arial"/>
                <w:b/>
                <w:bCs/>
                <w:sz w:val="24"/>
                <w:szCs w:val="24"/>
              </w:rPr>
              <w:t>)</w:t>
            </w:r>
          </w:p>
        </w:tc>
      </w:tr>
      <w:tr w:rsidR="00C96A2A" w:rsidRPr="006105C8" w14:paraId="63729C26" w14:textId="77777777" w:rsidTr="00FD11AF">
        <w:tc>
          <w:tcPr>
            <w:tcW w:w="1367" w:type="pct"/>
            <w:shd w:val="clear" w:color="auto" w:fill="D9D9D9" w:themeFill="background1" w:themeFillShade="D9"/>
          </w:tcPr>
          <w:p w14:paraId="141D5CB0"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Legal category (POM, GSL or P)</w:t>
            </w:r>
          </w:p>
        </w:tc>
        <w:tc>
          <w:tcPr>
            <w:tcW w:w="3633" w:type="pct"/>
          </w:tcPr>
          <w:p w14:paraId="45798F13" w14:textId="6919FAB9" w:rsidR="00C96A2A" w:rsidRPr="006105C8" w:rsidRDefault="00120945" w:rsidP="002E5737">
            <w:pPr>
              <w:spacing w:after="0" w:line="240" w:lineRule="auto"/>
              <w:rPr>
                <w:rFonts w:ascii="Arial" w:hAnsi="Arial" w:cs="Arial"/>
                <w:sz w:val="24"/>
                <w:szCs w:val="24"/>
              </w:rPr>
            </w:pPr>
            <w:r>
              <w:rPr>
                <w:rFonts w:ascii="Arial" w:hAnsi="Arial" w:cs="Arial"/>
                <w:sz w:val="24"/>
                <w:szCs w:val="24"/>
              </w:rPr>
              <w:t>POM</w:t>
            </w:r>
          </w:p>
        </w:tc>
      </w:tr>
      <w:tr w:rsidR="00C96A2A" w:rsidRPr="006105C8" w14:paraId="3658CE5C" w14:textId="77777777" w:rsidTr="00FD11AF">
        <w:tc>
          <w:tcPr>
            <w:tcW w:w="1367" w:type="pct"/>
            <w:shd w:val="clear" w:color="auto" w:fill="D9D9D9" w:themeFill="background1" w:themeFillShade="D9"/>
          </w:tcPr>
          <w:p w14:paraId="3EDD4C40"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Route of administration</w:t>
            </w:r>
          </w:p>
        </w:tc>
        <w:tc>
          <w:tcPr>
            <w:tcW w:w="3633" w:type="pct"/>
          </w:tcPr>
          <w:p w14:paraId="4AC3030C" w14:textId="2458085D" w:rsidR="00C96A2A" w:rsidRPr="006105C8" w:rsidRDefault="00120945" w:rsidP="002E5737">
            <w:pPr>
              <w:spacing w:after="0" w:line="240" w:lineRule="auto"/>
              <w:rPr>
                <w:rFonts w:ascii="Arial" w:hAnsi="Arial" w:cs="Arial"/>
                <w:sz w:val="24"/>
                <w:szCs w:val="24"/>
              </w:rPr>
            </w:pPr>
            <w:r>
              <w:rPr>
                <w:rFonts w:ascii="Arial" w:hAnsi="Arial" w:cs="Arial"/>
                <w:sz w:val="24"/>
                <w:szCs w:val="24"/>
              </w:rPr>
              <w:t>Topically in the ear</w:t>
            </w:r>
          </w:p>
        </w:tc>
      </w:tr>
      <w:tr w:rsidR="00C96A2A" w:rsidRPr="006105C8" w14:paraId="4E279C7F" w14:textId="77777777" w:rsidTr="00FD11AF">
        <w:tc>
          <w:tcPr>
            <w:tcW w:w="1367" w:type="pct"/>
            <w:shd w:val="clear" w:color="auto" w:fill="D9D9D9" w:themeFill="background1" w:themeFillShade="D9"/>
          </w:tcPr>
          <w:p w14:paraId="07F16196"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Dose and frequency of administration</w:t>
            </w:r>
          </w:p>
        </w:tc>
        <w:tc>
          <w:tcPr>
            <w:tcW w:w="3633" w:type="pct"/>
          </w:tcPr>
          <w:p w14:paraId="06AEF814" w14:textId="77777777" w:rsidR="00465DC3" w:rsidRDefault="00120945" w:rsidP="00D03572">
            <w:pPr>
              <w:pStyle w:val="ListParagraph"/>
              <w:numPr>
                <w:ilvl w:val="0"/>
                <w:numId w:val="18"/>
              </w:numPr>
              <w:spacing w:after="0" w:line="240" w:lineRule="auto"/>
              <w:rPr>
                <w:rFonts w:ascii="Arial" w:hAnsi="Arial" w:cs="Arial"/>
                <w:sz w:val="24"/>
                <w:szCs w:val="24"/>
              </w:rPr>
            </w:pPr>
            <w:r>
              <w:rPr>
                <w:rFonts w:ascii="Arial" w:hAnsi="Arial" w:cs="Arial"/>
                <w:sz w:val="24"/>
                <w:szCs w:val="24"/>
              </w:rPr>
              <w:t>One metered dose three times a day into the affected ear(s) until two days after symptoms have disappeared.</w:t>
            </w:r>
          </w:p>
          <w:p w14:paraId="7AC700DC" w14:textId="77777777" w:rsidR="00120945" w:rsidRDefault="00120945" w:rsidP="00D03572">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Shake the botte well before use. Before first use, press actuator down several time to obtain a fine </w:t>
            </w:r>
            <w:r>
              <w:rPr>
                <w:rFonts w:ascii="Arial" w:hAnsi="Arial" w:cs="Arial"/>
                <w:sz w:val="24"/>
                <w:szCs w:val="24"/>
              </w:rPr>
              <w:lastRenderedPageBreak/>
              <w:t>spray. Each press then delivers one metered dose. Do not inhale the spray.</w:t>
            </w:r>
          </w:p>
          <w:p w14:paraId="7107AA92" w14:textId="4D1D38DD" w:rsidR="00120945" w:rsidRPr="00120945" w:rsidRDefault="00120945" w:rsidP="00D03572">
            <w:pPr>
              <w:pStyle w:val="ListParagraph"/>
              <w:numPr>
                <w:ilvl w:val="0"/>
                <w:numId w:val="18"/>
              </w:numPr>
              <w:spacing w:after="0" w:line="240" w:lineRule="auto"/>
              <w:rPr>
                <w:rFonts w:ascii="Arial" w:hAnsi="Arial" w:cs="Arial"/>
                <w:sz w:val="24"/>
                <w:szCs w:val="24"/>
              </w:rPr>
            </w:pPr>
            <w:r>
              <w:rPr>
                <w:rFonts w:ascii="Arial" w:hAnsi="Arial" w:cs="Arial"/>
                <w:sz w:val="24"/>
                <w:szCs w:val="24"/>
              </w:rPr>
              <w:t>Administer spray directly by gently placing nozzle tip into the ear opening and pressing down once on the actuator.</w:t>
            </w:r>
          </w:p>
        </w:tc>
      </w:tr>
      <w:tr w:rsidR="00C96A2A" w:rsidRPr="006105C8" w14:paraId="0E081375" w14:textId="77777777" w:rsidTr="00FD11AF">
        <w:tc>
          <w:tcPr>
            <w:tcW w:w="1367" w:type="pct"/>
            <w:shd w:val="clear" w:color="auto" w:fill="D9D9D9" w:themeFill="background1" w:themeFillShade="D9"/>
          </w:tcPr>
          <w:p w14:paraId="60AB9EE8"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Duration of treatment</w:t>
            </w:r>
          </w:p>
        </w:tc>
        <w:tc>
          <w:tcPr>
            <w:tcW w:w="3633" w:type="pct"/>
          </w:tcPr>
          <w:p w14:paraId="32FC2444" w14:textId="49215EC8" w:rsidR="00112FD8" w:rsidRPr="00597DF4" w:rsidRDefault="00120945" w:rsidP="00597DF4">
            <w:pPr>
              <w:spacing w:line="240" w:lineRule="auto"/>
              <w:rPr>
                <w:rFonts w:ascii="Arial" w:hAnsi="Arial"/>
                <w:sz w:val="24"/>
                <w:szCs w:val="24"/>
              </w:rPr>
            </w:pPr>
            <w:r>
              <w:rPr>
                <w:rFonts w:ascii="Arial" w:hAnsi="Arial"/>
                <w:sz w:val="24"/>
                <w:szCs w:val="24"/>
              </w:rPr>
              <w:t>7 to a maximum of 14 days</w:t>
            </w:r>
          </w:p>
        </w:tc>
      </w:tr>
      <w:tr w:rsidR="00C96A2A" w:rsidRPr="006105C8" w14:paraId="3CA50E4E" w14:textId="77777777" w:rsidTr="00FD11AF">
        <w:tc>
          <w:tcPr>
            <w:tcW w:w="1367" w:type="pct"/>
            <w:shd w:val="clear" w:color="auto" w:fill="D9D9D9" w:themeFill="background1" w:themeFillShade="D9"/>
          </w:tcPr>
          <w:p w14:paraId="66DF1F4E" w14:textId="77777777" w:rsidR="00C96A2A" w:rsidRPr="006105C8" w:rsidRDefault="00C96A2A" w:rsidP="002E5737">
            <w:pPr>
              <w:spacing w:after="0" w:line="240" w:lineRule="auto"/>
              <w:rPr>
                <w:rFonts w:ascii="Arial" w:eastAsia="Times New Roman" w:hAnsi="Arial" w:cs="Arial"/>
                <w:b/>
                <w:sz w:val="24"/>
                <w:szCs w:val="24"/>
              </w:rPr>
            </w:pPr>
            <w:r w:rsidRPr="006105C8">
              <w:rPr>
                <w:rFonts w:ascii="Arial" w:hAnsi="Arial" w:cs="Arial"/>
                <w:b/>
                <w:sz w:val="24"/>
                <w:szCs w:val="24"/>
              </w:rPr>
              <w:t>Quantity to be supplied</w:t>
            </w:r>
          </w:p>
        </w:tc>
        <w:tc>
          <w:tcPr>
            <w:tcW w:w="3633" w:type="pct"/>
          </w:tcPr>
          <w:p w14:paraId="18C0EF32" w14:textId="4140B918" w:rsidR="00465DC3" w:rsidRPr="00465DC3" w:rsidRDefault="00120945" w:rsidP="00FF489C">
            <w:pPr>
              <w:spacing w:after="0" w:line="240" w:lineRule="auto"/>
              <w:rPr>
                <w:rFonts w:ascii="Arial" w:hAnsi="Arial"/>
                <w:color w:val="000000" w:themeColor="text1"/>
                <w:sz w:val="24"/>
                <w:szCs w:val="24"/>
              </w:rPr>
            </w:pPr>
            <w:r>
              <w:rPr>
                <w:rFonts w:ascii="Arial" w:hAnsi="Arial"/>
                <w:color w:val="000000" w:themeColor="text1"/>
                <w:sz w:val="24"/>
                <w:szCs w:val="24"/>
              </w:rPr>
              <w:t xml:space="preserve">1x 5ml pack </w:t>
            </w:r>
          </w:p>
        </w:tc>
      </w:tr>
      <w:tr w:rsidR="00C96A2A" w:rsidRPr="006105C8" w14:paraId="0D969B3B" w14:textId="77777777" w:rsidTr="00FD11AF">
        <w:tc>
          <w:tcPr>
            <w:tcW w:w="1367" w:type="pct"/>
            <w:shd w:val="clear" w:color="auto" w:fill="D9D9D9" w:themeFill="background1" w:themeFillShade="D9"/>
          </w:tcPr>
          <w:p w14:paraId="2322A892" w14:textId="77777777" w:rsidR="00C96A2A" w:rsidRPr="006105C8" w:rsidRDefault="00C96A2A" w:rsidP="002E5737">
            <w:pPr>
              <w:spacing w:after="0" w:line="240" w:lineRule="auto"/>
              <w:rPr>
                <w:rFonts w:ascii="Arial" w:eastAsia="Times New Roman" w:hAnsi="Arial" w:cs="Times New Roman"/>
                <w:b/>
                <w:sz w:val="24"/>
                <w:szCs w:val="24"/>
              </w:rPr>
            </w:pPr>
            <w:r w:rsidRPr="006105C8">
              <w:rPr>
                <w:rFonts w:ascii="Arial" w:eastAsia="Times New Roman" w:hAnsi="Arial" w:cs="Times New Roman"/>
                <w:b/>
                <w:sz w:val="24"/>
                <w:szCs w:val="24"/>
              </w:rPr>
              <w:t xml:space="preserve">Storage </w:t>
            </w:r>
          </w:p>
        </w:tc>
        <w:tc>
          <w:tcPr>
            <w:tcW w:w="3633" w:type="pct"/>
          </w:tcPr>
          <w:p w14:paraId="4D02D69C" w14:textId="3E8647A0" w:rsidR="003A324A" w:rsidRDefault="003A324A" w:rsidP="00D03572">
            <w:pPr>
              <w:numPr>
                <w:ilvl w:val="0"/>
                <w:numId w:val="2"/>
              </w:numPr>
              <w:spacing w:after="0" w:line="240" w:lineRule="auto"/>
              <w:ind w:left="360"/>
              <w:rPr>
                <w:rFonts w:ascii="Arial" w:hAnsi="Arial"/>
                <w:sz w:val="24"/>
                <w:szCs w:val="24"/>
              </w:rPr>
            </w:pPr>
            <w:r>
              <w:rPr>
                <w:rFonts w:ascii="Arial" w:hAnsi="Arial"/>
                <w:sz w:val="24"/>
                <w:szCs w:val="24"/>
              </w:rPr>
              <w:t>Store securely at room temperature (do not exceed temperatures over 25</w:t>
            </w:r>
            <w:r>
              <w:rPr>
                <w:rFonts w:ascii="Arial" w:hAnsi="Arial"/>
                <w:sz w:val="24"/>
                <w:szCs w:val="24"/>
                <w:vertAlign w:val="superscript"/>
              </w:rPr>
              <w:t>o</w:t>
            </w:r>
            <w:r>
              <w:rPr>
                <w:rFonts w:ascii="Arial" w:hAnsi="Arial"/>
                <w:sz w:val="24"/>
                <w:szCs w:val="24"/>
              </w:rPr>
              <w:t>C</w:t>
            </w:r>
            <w:r w:rsidR="00120945">
              <w:rPr>
                <w:rFonts w:ascii="Arial" w:hAnsi="Arial"/>
                <w:sz w:val="24"/>
                <w:szCs w:val="24"/>
              </w:rPr>
              <w:t xml:space="preserve"> and do not freeze)</w:t>
            </w:r>
          </w:p>
          <w:p w14:paraId="25779B31" w14:textId="703F71EF" w:rsidR="00C96A2A" w:rsidRDefault="00C96A2A" w:rsidP="00D03572">
            <w:pPr>
              <w:numPr>
                <w:ilvl w:val="0"/>
                <w:numId w:val="2"/>
              </w:numPr>
              <w:spacing w:after="0" w:line="240" w:lineRule="auto"/>
              <w:ind w:left="360"/>
              <w:rPr>
                <w:rFonts w:ascii="Arial" w:hAnsi="Arial"/>
                <w:sz w:val="24"/>
                <w:szCs w:val="24"/>
              </w:rPr>
            </w:pPr>
            <w:r w:rsidRPr="006105C8">
              <w:rPr>
                <w:rFonts w:ascii="Arial" w:hAnsi="Arial"/>
                <w:sz w:val="24"/>
                <w:szCs w:val="24"/>
              </w:rPr>
              <w:t>Use only if within expiry date</w:t>
            </w:r>
          </w:p>
          <w:p w14:paraId="6D797214" w14:textId="6CE7160A" w:rsidR="00120945" w:rsidRPr="00120945" w:rsidRDefault="00120945" w:rsidP="00D03572">
            <w:pPr>
              <w:numPr>
                <w:ilvl w:val="0"/>
                <w:numId w:val="2"/>
              </w:numPr>
              <w:spacing w:after="0" w:line="240" w:lineRule="auto"/>
              <w:ind w:left="360"/>
              <w:rPr>
                <w:rFonts w:ascii="Arial" w:hAnsi="Arial"/>
                <w:sz w:val="24"/>
                <w:szCs w:val="24"/>
              </w:rPr>
            </w:pPr>
            <w:r>
              <w:rPr>
                <w:rFonts w:ascii="Arial" w:hAnsi="Arial"/>
                <w:sz w:val="24"/>
                <w:szCs w:val="24"/>
              </w:rPr>
              <w:t>Store upright in the carton.</w:t>
            </w:r>
          </w:p>
          <w:p w14:paraId="788967C3" w14:textId="77777777" w:rsidR="00C96A2A" w:rsidRPr="006105C8" w:rsidRDefault="00C96A2A" w:rsidP="00D03572">
            <w:pPr>
              <w:numPr>
                <w:ilvl w:val="0"/>
                <w:numId w:val="2"/>
              </w:numPr>
              <w:spacing w:after="0" w:line="240" w:lineRule="auto"/>
              <w:ind w:left="360"/>
              <w:rPr>
                <w:rFonts w:ascii="Arial" w:hAnsi="Arial" w:cs="Arial"/>
                <w:sz w:val="24"/>
                <w:szCs w:val="24"/>
              </w:rPr>
            </w:pPr>
            <w:r w:rsidRPr="006105C8">
              <w:rPr>
                <w:rFonts w:ascii="Arial" w:hAnsi="Arial" w:cs="Arial"/>
                <w:sz w:val="24"/>
                <w:szCs w:val="24"/>
              </w:rPr>
              <w:t xml:space="preserve">Stock must be securely stored in a locked cupboard accordioning to Organisation Medicines Policy and in conditions in line with SPC, which is available from the electronic Medicines Compendium website: </w:t>
            </w:r>
            <w:hyperlink r:id="rId17" w:history="1">
              <w:r w:rsidRPr="006105C8">
                <w:rPr>
                  <w:rStyle w:val="Hyperlink"/>
                  <w:rFonts w:ascii="Arial" w:hAnsi="Arial" w:cs="Arial"/>
                  <w:sz w:val="24"/>
                  <w:szCs w:val="24"/>
                </w:rPr>
                <w:t>www.medicines.org.uk</w:t>
              </w:r>
            </w:hyperlink>
            <w:r w:rsidRPr="006105C8">
              <w:rPr>
                <w:rFonts w:ascii="Arial" w:hAnsi="Arial" w:cs="Arial"/>
                <w:sz w:val="24"/>
                <w:szCs w:val="24"/>
              </w:rPr>
              <w:t xml:space="preserve"> </w:t>
            </w:r>
          </w:p>
          <w:p w14:paraId="28CE4E17" w14:textId="77777777" w:rsidR="00C96A2A" w:rsidRPr="006105C8" w:rsidRDefault="00C96A2A" w:rsidP="00C96A2A">
            <w:pPr>
              <w:spacing w:after="0" w:line="240" w:lineRule="auto"/>
              <w:ind w:left="360"/>
              <w:rPr>
                <w:rFonts w:ascii="Arial" w:hAnsi="Arial"/>
                <w:sz w:val="24"/>
                <w:szCs w:val="24"/>
              </w:rPr>
            </w:pPr>
          </w:p>
        </w:tc>
      </w:tr>
      <w:tr w:rsidR="00526471" w:rsidRPr="006105C8" w14:paraId="48C1B0D7" w14:textId="77777777" w:rsidTr="00FD11AF">
        <w:tc>
          <w:tcPr>
            <w:tcW w:w="1367" w:type="pct"/>
            <w:shd w:val="clear" w:color="auto" w:fill="D9D9D9" w:themeFill="background1" w:themeFillShade="D9"/>
          </w:tcPr>
          <w:p w14:paraId="65CDD5DC" w14:textId="77777777" w:rsidR="00526471" w:rsidRPr="006105C8" w:rsidRDefault="00526471" w:rsidP="00526471">
            <w:pPr>
              <w:spacing w:after="0" w:line="240" w:lineRule="auto"/>
              <w:rPr>
                <w:rFonts w:ascii="Arial" w:hAnsi="Arial" w:cs="Arial"/>
                <w:b/>
                <w:sz w:val="24"/>
                <w:szCs w:val="24"/>
              </w:rPr>
            </w:pPr>
            <w:r w:rsidRPr="006105C8">
              <w:rPr>
                <w:rFonts w:ascii="Arial" w:hAnsi="Arial" w:cs="Arial"/>
                <w:b/>
                <w:sz w:val="24"/>
                <w:szCs w:val="24"/>
              </w:rPr>
              <w:t>Drug Interactions</w:t>
            </w:r>
          </w:p>
          <w:p w14:paraId="2492584D" w14:textId="0DB4D3E5" w:rsidR="00526471" w:rsidRPr="006105C8" w:rsidRDefault="003A324A" w:rsidP="00526471">
            <w:pPr>
              <w:spacing w:after="0" w:line="240" w:lineRule="auto"/>
              <w:rPr>
                <w:rFonts w:ascii="Arial" w:hAnsi="Arial" w:cs="Arial"/>
                <w:b/>
                <w:sz w:val="24"/>
                <w:szCs w:val="24"/>
              </w:rPr>
            </w:pPr>
            <w:r w:rsidRPr="006105C8">
              <w:rPr>
                <w:rFonts w:ascii="Arial" w:hAnsi="Arial" w:cs="Arial"/>
                <w:sz w:val="24"/>
                <w:szCs w:val="24"/>
              </w:rPr>
              <w:t>A detailed list of drug interactions is available from</w:t>
            </w:r>
            <w:r w:rsidRPr="006105C8">
              <w:rPr>
                <w:rFonts w:ascii="Arial" w:hAnsi="Arial" w:cs="Arial"/>
                <w:b/>
                <w:color w:val="000000"/>
                <w:sz w:val="24"/>
                <w:szCs w:val="24"/>
              </w:rPr>
              <w:t xml:space="preserve">: </w:t>
            </w:r>
            <w:hyperlink r:id="rId18" w:history="1">
              <w:r w:rsidRPr="006105C8">
                <w:rPr>
                  <w:rStyle w:val="Hyperlink"/>
                  <w:rFonts w:ascii="Arial" w:eastAsia="Arial" w:hAnsi="Arial" w:cs="Arial"/>
                  <w:bCs/>
                  <w:sz w:val="24"/>
                  <w:szCs w:val="24"/>
                </w:rPr>
                <w:t>www.medicines.org.uk</w:t>
              </w:r>
            </w:hyperlink>
          </w:p>
        </w:tc>
        <w:tc>
          <w:tcPr>
            <w:tcW w:w="3633" w:type="pct"/>
          </w:tcPr>
          <w:p w14:paraId="515BF56C" w14:textId="17AA8CA6" w:rsidR="00FD11AF" w:rsidRDefault="003A324A" w:rsidP="00D8652F">
            <w:pPr>
              <w:widowControl w:val="0"/>
              <w:overflowPunct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None known </w:t>
            </w:r>
          </w:p>
          <w:p w14:paraId="33C286FF" w14:textId="3F7885E1" w:rsidR="00526471" w:rsidRPr="006105C8" w:rsidRDefault="00526471" w:rsidP="00D8652F">
            <w:pPr>
              <w:widowControl w:val="0"/>
              <w:overflowPunct w:val="0"/>
              <w:adjustRightInd w:val="0"/>
              <w:spacing w:after="0" w:line="240" w:lineRule="auto"/>
              <w:rPr>
                <w:rFonts w:ascii="Arial" w:eastAsia="Times New Roman" w:hAnsi="Arial" w:cs="Arial"/>
                <w:sz w:val="24"/>
                <w:szCs w:val="24"/>
              </w:rPr>
            </w:pPr>
          </w:p>
        </w:tc>
      </w:tr>
      <w:tr w:rsidR="00526471" w:rsidRPr="006105C8" w14:paraId="73BDED4C" w14:textId="77777777" w:rsidTr="00FD11AF">
        <w:tc>
          <w:tcPr>
            <w:tcW w:w="1367" w:type="pct"/>
            <w:shd w:val="clear" w:color="auto" w:fill="D9D9D9" w:themeFill="background1" w:themeFillShade="D9"/>
          </w:tcPr>
          <w:p w14:paraId="49A9F787" w14:textId="77777777" w:rsidR="00526471" w:rsidRPr="006105C8" w:rsidRDefault="00526471" w:rsidP="00526471">
            <w:pPr>
              <w:spacing w:after="0" w:line="240" w:lineRule="auto"/>
              <w:rPr>
                <w:rFonts w:ascii="Arial" w:eastAsia="Times New Roman" w:hAnsi="Arial" w:cs="Arial"/>
                <w:b/>
                <w:sz w:val="24"/>
                <w:szCs w:val="24"/>
              </w:rPr>
            </w:pPr>
            <w:r w:rsidRPr="006105C8">
              <w:rPr>
                <w:rFonts w:ascii="Arial" w:hAnsi="Arial" w:cs="Arial"/>
                <w:b/>
                <w:sz w:val="24"/>
                <w:szCs w:val="24"/>
              </w:rPr>
              <w:t>Identification &amp; management of adverse reactions</w:t>
            </w:r>
          </w:p>
        </w:tc>
        <w:tc>
          <w:tcPr>
            <w:tcW w:w="3633" w:type="pct"/>
          </w:tcPr>
          <w:p w14:paraId="1889E491" w14:textId="77777777" w:rsidR="00526471" w:rsidRPr="006105C8" w:rsidRDefault="00526471" w:rsidP="00526471">
            <w:pPr>
              <w:widowControl w:val="0"/>
              <w:autoSpaceDE w:val="0"/>
              <w:autoSpaceDN w:val="0"/>
              <w:adjustRightInd w:val="0"/>
              <w:spacing w:after="0" w:line="240" w:lineRule="auto"/>
              <w:rPr>
                <w:rFonts w:ascii="Arial" w:hAnsi="Arial" w:cs="Arial"/>
                <w:sz w:val="24"/>
                <w:szCs w:val="24"/>
              </w:rPr>
            </w:pPr>
            <w:r w:rsidRPr="006105C8">
              <w:rPr>
                <w:rFonts w:ascii="Arial" w:hAnsi="Arial" w:cs="Arial"/>
                <w:sz w:val="24"/>
                <w:szCs w:val="24"/>
              </w:rPr>
              <w:t>If an adverse reaction occurs:</w:t>
            </w:r>
          </w:p>
          <w:p w14:paraId="7D123F13" w14:textId="77777777" w:rsidR="00526471" w:rsidRPr="006105C8" w:rsidRDefault="00526471" w:rsidP="00D03572">
            <w:pPr>
              <w:pStyle w:val="ListParagraph"/>
              <w:widowControl w:val="0"/>
              <w:numPr>
                <w:ilvl w:val="0"/>
                <w:numId w:val="6"/>
              </w:numPr>
              <w:autoSpaceDE w:val="0"/>
              <w:autoSpaceDN w:val="0"/>
              <w:adjustRightInd w:val="0"/>
              <w:spacing w:after="0" w:line="240" w:lineRule="auto"/>
              <w:ind w:left="317" w:hanging="283"/>
              <w:rPr>
                <w:rFonts w:ascii="Arial" w:hAnsi="Arial" w:cs="Arial"/>
                <w:sz w:val="24"/>
                <w:szCs w:val="24"/>
              </w:rPr>
            </w:pPr>
            <w:r w:rsidRPr="006105C8">
              <w:rPr>
                <w:rFonts w:ascii="Arial" w:hAnsi="Arial" w:cs="Arial"/>
                <w:sz w:val="24"/>
                <w:szCs w:val="24"/>
              </w:rPr>
              <w:t>Stop treatment</w:t>
            </w:r>
          </w:p>
          <w:p w14:paraId="400AC924" w14:textId="77777777" w:rsidR="00526471" w:rsidRPr="006105C8" w:rsidRDefault="00526471" w:rsidP="00D03572">
            <w:pPr>
              <w:pStyle w:val="ListParagraph"/>
              <w:numPr>
                <w:ilvl w:val="0"/>
                <w:numId w:val="6"/>
              </w:numPr>
              <w:spacing w:after="0" w:line="240" w:lineRule="auto"/>
              <w:ind w:left="317" w:hanging="283"/>
              <w:rPr>
                <w:rFonts w:ascii="Arial" w:hAnsi="Arial" w:cs="Arial"/>
                <w:sz w:val="24"/>
                <w:szCs w:val="24"/>
              </w:rPr>
            </w:pPr>
            <w:r w:rsidRPr="006105C8">
              <w:rPr>
                <w:rFonts w:ascii="Arial" w:hAnsi="Arial" w:cs="Arial"/>
                <w:sz w:val="24"/>
                <w:szCs w:val="24"/>
              </w:rPr>
              <w:t>Inform patient’s GP, OOH’s GP or emergency services as soon as possible</w:t>
            </w:r>
          </w:p>
          <w:p w14:paraId="78D3530D" w14:textId="77777777" w:rsidR="00526471" w:rsidRPr="006105C8" w:rsidRDefault="00526471" w:rsidP="00D03572">
            <w:pPr>
              <w:pStyle w:val="ListParagraph"/>
              <w:widowControl w:val="0"/>
              <w:numPr>
                <w:ilvl w:val="0"/>
                <w:numId w:val="6"/>
              </w:numPr>
              <w:autoSpaceDE w:val="0"/>
              <w:autoSpaceDN w:val="0"/>
              <w:adjustRightInd w:val="0"/>
              <w:spacing w:after="0" w:line="240" w:lineRule="auto"/>
              <w:ind w:left="317" w:hanging="283"/>
              <w:rPr>
                <w:rFonts w:ascii="Arial" w:hAnsi="Arial" w:cs="Arial"/>
                <w:sz w:val="24"/>
                <w:szCs w:val="24"/>
              </w:rPr>
            </w:pPr>
            <w:r w:rsidRPr="006105C8">
              <w:rPr>
                <w:rFonts w:ascii="Arial" w:hAnsi="Arial" w:cs="Arial"/>
                <w:sz w:val="24"/>
                <w:szCs w:val="24"/>
              </w:rPr>
              <w:t>Document details</w:t>
            </w:r>
          </w:p>
          <w:p w14:paraId="56481294" w14:textId="77777777" w:rsidR="00FD11AF" w:rsidRPr="003A324A" w:rsidRDefault="00526471" w:rsidP="00D03572">
            <w:pPr>
              <w:pStyle w:val="ListParagraph"/>
              <w:numPr>
                <w:ilvl w:val="0"/>
                <w:numId w:val="6"/>
              </w:numPr>
              <w:spacing w:after="0" w:line="240" w:lineRule="auto"/>
              <w:ind w:left="317" w:hanging="283"/>
              <w:rPr>
                <w:rFonts w:ascii="Arial" w:eastAsia="Times New Roman" w:hAnsi="Arial" w:cs="Arial"/>
                <w:sz w:val="24"/>
                <w:szCs w:val="24"/>
              </w:rPr>
            </w:pPr>
            <w:r w:rsidRPr="006105C8">
              <w:rPr>
                <w:rFonts w:ascii="Arial" w:hAnsi="Arial" w:cs="Arial"/>
                <w:sz w:val="24"/>
                <w:szCs w:val="24"/>
              </w:rPr>
              <w:t>Give pa</w:t>
            </w:r>
            <w:r w:rsidR="00597DF4">
              <w:rPr>
                <w:rFonts w:ascii="Arial" w:hAnsi="Arial" w:cs="Arial"/>
                <w:sz w:val="24"/>
                <w:szCs w:val="24"/>
              </w:rPr>
              <w:t>rent/guardian/caregiver</w:t>
            </w:r>
            <w:r w:rsidRPr="006105C8">
              <w:rPr>
                <w:rFonts w:ascii="Arial" w:hAnsi="Arial" w:cs="Arial"/>
                <w:sz w:val="24"/>
                <w:szCs w:val="24"/>
              </w:rPr>
              <w:t xml:space="preserve"> advice on how to manage and recognise adverse reactions  </w:t>
            </w:r>
          </w:p>
          <w:p w14:paraId="7CF5A830" w14:textId="77777777" w:rsidR="003A324A" w:rsidRDefault="003A324A" w:rsidP="003A324A">
            <w:pPr>
              <w:spacing w:after="0" w:line="240" w:lineRule="auto"/>
              <w:rPr>
                <w:rFonts w:ascii="Arial" w:eastAsia="Times New Roman" w:hAnsi="Arial" w:cs="Arial"/>
                <w:sz w:val="24"/>
                <w:szCs w:val="24"/>
              </w:rPr>
            </w:pPr>
          </w:p>
          <w:p w14:paraId="2366A844" w14:textId="349C3D56" w:rsidR="00120945" w:rsidRPr="00120945" w:rsidRDefault="00985EC5" w:rsidP="003A324A">
            <w:pPr>
              <w:spacing w:after="0" w:line="240" w:lineRule="auto"/>
              <w:rPr>
                <w:rFonts w:ascii="Arial" w:eastAsia="Times New Roman" w:hAnsi="Arial" w:cs="Arial"/>
                <w:sz w:val="24"/>
                <w:szCs w:val="24"/>
              </w:rPr>
            </w:pPr>
            <w:r>
              <w:rPr>
                <w:rFonts w:ascii="Arial" w:hAnsi="Arial" w:cs="Arial"/>
                <w:color w:val="000000" w:themeColor="text1"/>
                <w:sz w:val="24"/>
                <w:szCs w:val="28"/>
              </w:rPr>
              <w:t xml:space="preserve">Neomycin/dexamethasone/acetic acid ear spray </w:t>
            </w:r>
            <w:r w:rsidR="00120945">
              <w:rPr>
                <w:rFonts w:ascii="Arial" w:eastAsia="Times New Roman" w:hAnsi="Arial" w:cs="Arial"/>
                <w:sz w:val="24"/>
                <w:szCs w:val="24"/>
              </w:rPr>
              <w:t xml:space="preserve">is generally well tolerated, but occasionally at the site of application, there may be signs of irritation such as a burning sensation, itching or skin rash. Hypersensitivity reactions may also occasionally occur. Treatment should be discontinued if patients experience severe irritation or sensitisation. </w:t>
            </w:r>
          </w:p>
          <w:p w14:paraId="28929F79" w14:textId="23F2DB70" w:rsidR="00526471" w:rsidRPr="00FD11AF" w:rsidRDefault="00526471" w:rsidP="00FD11AF">
            <w:pPr>
              <w:spacing w:after="0" w:line="240" w:lineRule="auto"/>
              <w:rPr>
                <w:rFonts w:ascii="Arial" w:eastAsia="Times New Roman" w:hAnsi="Arial" w:cs="Arial"/>
                <w:sz w:val="24"/>
                <w:szCs w:val="24"/>
              </w:rPr>
            </w:pPr>
            <w:r w:rsidRPr="00FD11AF">
              <w:rPr>
                <w:rFonts w:ascii="Arial" w:hAnsi="Arial" w:cs="Arial"/>
                <w:sz w:val="24"/>
                <w:szCs w:val="24"/>
              </w:rPr>
              <w:t xml:space="preserve">     </w:t>
            </w:r>
          </w:p>
          <w:p w14:paraId="5E2605EB" w14:textId="0C8B07E5" w:rsidR="00526471" w:rsidRPr="00A50953" w:rsidRDefault="00526471" w:rsidP="00526471">
            <w:pPr>
              <w:spacing w:after="0" w:line="240" w:lineRule="auto"/>
              <w:rPr>
                <w:rFonts w:ascii="Arial" w:hAnsi="Arial" w:cs="Arial"/>
                <w:sz w:val="24"/>
                <w:szCs w:val="24"/>
              </w:rPr>
            </w:pPr>
            <w:r w:rsidRPr="006105C8">
              <w:rPr>
                <w:rFonts w:ascii="Arial" w:hAnsi="Arial" w:cs="Arial"/>
                <w:b/>
                <w:sz w:val="24"/>
                <w:szCs w:val="24"/>
              </w:rPr>
              <w:t>This list may not represent all reported side effects of this medicine. Refer to the most current BNF and/or SPC for more information</w:t>
            </w:r>
            <w:r w:rsidRPr="006105C8">
              <w:rPr>
                <w:rFonts w:ascii="Arial" w:hAnsi="Arial" w:cs="Arial"/>
                <w:sz w:val="24"/>
                <w:szCs w:val="24"/>
              </w:rPr>
              <w:t>.</w:t>
            </w:r>
          </w:p>
        </w:tc>
      </w:tr>
      <w:tr w:rsidR="00526471" w:rsidRPr="00F41D3F" w14:paraId="35BB977F" w14:textId="77777777" w:rsidTr="00FD11AF">
        <w:tc>
          <w:tcPr>
            <w:tcW w:w="1367" w:type="pct"/>
            <w:shd w:val="clear" w:color="auto" w:fill="D9D9D9" w:themeFill="background1" w:themeFillShade="D9"/>
          </w:tcPr>
          <w:p w14:paraId="38F5EF10" w14:textId="77777777" w:rsidR="00526471" w:rsidRDefault="00526471" w:rsidP="00526471">
            <w:pPr>
              <w:spacing w:after="0" w:line="240" w:lineRule="auto"/>
              <w:rPr>
                <w:rFonts w:ascii="Arial" w:hAnsi="Arial" w:cs="Arial"/>
                <w:b/>
              </w:rPr>
            </w:pPr>
            <w:r w:rsidRPr="00AC1693">
              <w:rPr>
                <w:rFonts w:ascii="Arial" w:hAnsi="Arial" w:cs="Arial"/>
                <w:b/>
              </w:rPr>
              <w:t>Management of and reporting procedure for adverse reactions</w:t>
            </w:r>
          </w:p>
          <w:p w14:paraId="4DE115CC" w14:textId="77777777" w:rsidR="00526471" w:rsidRPr="00AC1693" w:rsidRDefault="00526471" w:rsidP="00526471">
            <w:pPr>
              <w:spacing w:after="0" w:line="240" w:lineRule="auto"/>
              <w:rPr>
                <w:rFonts w:ascii="Arial" w:eastAsia="Times New Roman" w:hAnsi="Arial" w:cs="Arial"/>
                <w:b/>
              </w:rPr>
            </w:pPr>
          </w:p>
        </w:tc>
        <w:tc>
          <w:tcPr>
            <w:tcW w:w="3633" w:type="pct"/>
          </w:tcPr>
          <w:p w14:paraId="4F0E1CE8" w14:textId="77777777" w:rsidR="00526471" w:rsidRDefault="00526471" w:rsidP="00D03572">
            <w:pPr>
              <w:widowControl w:val="0"/>
              <w:numPr>
                <w:ilvl w:val="0"/>
                <w:numId w:val="3"/>
              </w:numPr>
              <w:tabs>
                <w:tab w:val="left" w:pos="1080"/>
              </w:tabs>
              <w:overflowPunct w:val="0"/>
              <w:adjustRightInd w:val="0"/>
              <w:spacing w:after="0" w:line="240" w:lineRule="auto"/>
              <w:rPr>
                <w:rFonts w:ascii="Arial" w:eastAsia="Times New Roman" w:hAnsi="Arial" w:cs="Arial"/>
              </w:rPr>
            </w:pPr>
            <w:r w:rsidRPr="00C62F6E">
              <w:rPr>
                <w:rFonts w:ascii="Arial" w:eastAsia="Times New Roman" w:hAnsi="Arial" w:cs="Arial"/>
              </w:rPr>
              <w:t xml:space="preserve">Healthcare professionals and patients/carers are encouraged to report suspected adverse reactions to the Medicines and Healthcare products Regulatory Agency (MHRA) using the Yellow Card reporting scheme on: </w:t>
            </w:r>
            <w:hyperlink r:id="rId19" w:history="1">
              <w:r w:rsidRPr="00731891">
                <w:rPr>
                  <w:rStyle w:val="Hyperlink"/>
                  <w:rFonts w:ascii="Arial" w:eastAsia="Times New Roman" w:hAnsi="Arial" w:cs="Arial"/>
                </w:rPr>
                <w:t>https://yellowcard.mhra.gov.uk</w:t>
              </w:r>
            </w:hyperlink>
          </w:p>
          <w:p w14:paraId="6B77DC67" w14:textId="77777777" w:rsidR="00526471" w:rsidRPr="00C62F6E" w:rsidRDefault="00526471" w:rsidP="00D03572">
            <w:pPr>
              <w:widowControl w:val="0"/>
              <w:numPr>
                <w:ilvl w:val="0"/>
                <w:numId w:val="3"/>
              </w:numPr>
              <w:tabs>
                <w:tab w:val="left" w:pos="1080"/>
              </w:tabs>
              <w:overflowPunct w:val="0"/>
              <w:adjustRightInd w:val="0"/>
              <w:spacing w:after="0" w:line="240" w:lineRule="auto"/>
              <w:rPr>
                <w:rFonts w:ascii="Arial" w:eastAsia="Times New Roman" w:hAnsi="Arial" w:cs="Arial"/>
              </w:rPr>
            </w:pPr>
            <w:r w:rsidRPr="00C62F6E">
              <w:rPr>
                <w:rFonts w:ascii="Arial" w:eastAsia="Times New Roman" w:hAnsi="Arial" w:cs="Arial"/>
              </w:rPr>
              <w:t>Record all adverse drug reactions (ADRs) in the patient’s medical record.</w:t>
            </w:r>
          </w:p>
          <w:p w14:paraId="2A590FB0" w14:textId="5B9B6635" w:rsidR="00526471" w:rsidRPr="00A346B5" w:rsidRDefault="00526471" w:rsidP="00D03572">
            <w:pPr>
              <w:widowControl w:val="0"/>
              <w:numPr>
                <w:ilvl w:val="0"/>
                <w:numId w:val="3"/>
              </w:numPr>
              <w:tabs>
                <w:tab w:val="left" w:pos="1080"/>
              </w:tabs>
              <w:overflowPunct w:val="0"/>
              <w:adjustRightInd w:val="0"/>
              <w:spacing w:after="0" w:line="240" w:lineRule="auto"/>
              <w:rPr>
                <w:rFonts w:ascii="Arial" w:eastAsia="Times New Roman" w:hAnsi="Arial" w:cs="Arial"/>
              </w:rPr>
            </w:pPr>
            <w:r w:rsidRPr="00C62F6E">
              <w:rPr>
                <w:rFonts w:ascii="Arial" w:eastAsia="Times New Roman" w:hAnsi="Arial" w:cs="Arial"/>
              </w:rPr>
              <w:lastRenderedPageBreak/>
              <w:t>Report via organisation incident policy.</w:t>
            </w:r>
          </w:p>
        </w:tc>
      </w:tr>
      <w:tr w:rsidR="00526471" w:rsidRPr="00F41D3F" w14:paraId="4B04613D" w14:textId="77777777" w:rsidTr="00FD11AF">
        <w:tc>
          <w:tcPr>
            <w:tcW w:w="1367" w:type="pct"/>
            <w:shd w:val="clear" w:color="auto" w:fill="D9D9D9" w:themeFill="background1" w:themeFillShade="D9"/>
          </w:tcPr>
          <w:p w14:paraId="78AFC4B1" w14:textId="77777777" w:rsidR="00526471" w:rsidRPr="00AC1693" w:rsidRDefault="00526471" w:rsidP="00526471">
            <w:pPr>
              <w:spacing w:after="0" w:line="240" w:lineRule="auto"/>
              <w:rPr>
                <w:rFonts w:ascii="Arial" w:hAnsi="Arial" w:cs="Arial"/>
                <w:b/>
              </w:rPr>
            </w:pPr>
            <w:r>
              <w:rPr>
                <w:rFonts w:ascii="Arial" w:hAnsi="Arial" w:cs="Arial"/>
                <w:b/>
              </w:rPr>
              <w:t xml:space="preserve">Written information </w:t>
            </w:r>
            <w:r w:rsidRPr="00C62F6E">
              <w:rPr>
                <w:rFonts w:ascii="Arial" w:hAnsi="Arial" w:cs="Arial"/>
                <w:b/>
              </w:rPr>
              <w:t>to be given to patient or carer</w:t>
            </w:r>
          </w:p>
        </w:tc>
        <w:tc>
          <w:tcPr>
            <w:tcW w:w="3633" w:type="pct"/>
          </w:tcPr>
          <w:p w14:paraId="0A19A72D" w14:textId="77777777" w:rsidR="00526471" w:rsidRPr="007E45FD" w:rsidRDefault="00526471" w:rsidP="00D03572">
            <w:pPr>
              <w:pStyle w:val="TableParagraph"/>
              <w:numPr>
                <w:ilvl w:val="0"/>
                <w:numId w:val="7"/>
              </w:numPr>
              <w:ind w:right="89"/>
              <w:rPr>
                <w:rFonts w:ascii="Arial" w:eastAsia="Arial" w:hAnsi="Arial" w:cs="Arial"/>
                <w:lang w:val="en-GB"/>
              </w:rPr>
            </w:pPr>
            <w:r w:rsidRPr="007E45FD">
              <w:rPr>
                <w:rFonts w:ascii="Arial" w:eastAsia="Arial" w:hAnsi="Arial" w:cs="Arial"/>
                <w:lang w:val="en-GB"/>
              </w:rPr>
              <w:t xml:space="preserve">Give marketing authorisation holder's patient information leaflet (PIL) provided with the product.  </w:t>
            </w:r>
          </w:p>
          <w:p w14:paraId="4593704F" w14:textId="77777777" w:rsidR="00526471" w:rsidRPr="00120945" w:rsidRDefault="00526471" w:rsidP="00D03572">
            <w:pPr>
              <w:widowControl w:val="0"/>
              <w:numPr>
                <w:ilvl w:val="0"/>
                <w:numId w:val="3"/>
              </w:numPr>
              <w:tabs>
                <w:tab w:val="left" w:pos="1080"/>
              </w:tabs>
              <w:overflowPunct w:val="0"/>
              <w:adjustRightInd w:val="0"/>
              <w:spacing w:after="0" w:line="240" w:lineRule="auto"/>
              <w:rPr>
                <w:rFonts w:ascii="Arial" w:eastAsia="Times New Roman" w:hAnsi="Arial" w:cs="Arial"/>
              </w:rPr>
            </w:pPr>
            <w:r w:rsidRPr="007E45FD">
              <w:rPr>
                <w:rFonts w:ascii="Arial" w:eastAsia="Arial" w:hAnsi="Arial" w:cs="Arial"/>
              </w:rPr>
              <w:t>Any service specific information</w:t>
            </w:r>
          </w:p>
          <w:p w14:paraId="152F19FB" w14:textId="647FD210" w:rsidR="00120945" w:rsidRPr="00120945" w:rsidRDefault="00120945" w:rsidP="00D03572">
            <w:pPr>
              <w:widowControl w:val="0"/>
              <w:numPr>
                <w:ilvl w:val="0"/>
                <w:numId w:val="3"/>
              </w:numPr>
              <w:tabs>
                <w:tab w:val="left" w:pos="1080"/>
              </w:tabs>
              <w:overflowPunct w:val="0"/>
              <w:adjustRightInd w:val="0"/>
              <w:spacing w:after="0" w:line="240" w:lineRule="auto"/>
              <w:rPr>
                <w:rFonts w:ascii="Arial" w:eastAsia="Times New Roman" w:hAnsi="Arial" w:cs="Arial"/>
              </w:rPr>
            </w:pPr>
            <w:r>
              <w:rPr>
                <w:rFonts w:ascii="Arial" w:eastAsia="Arial" w:hAnsi="Arial" w:cs="Arial"/>
              </w:rPr>
              <w:t xml:space="preserve">Provide advice on sources of information and support, such as </w:t>
            </w:r>
            <w:hyperlink r:id="rId20" w:history="1">
              <w:r w:rsidRPr="00120945">
                <w:rPr>
                  <w:rStyle w:val="Hyperlink"/>
                  <w:rFonts w:ascii="Arial" w:eastAsia="Arial" w:hAnsi="Arial" w:cs="Arial"/>
                </w:rPr>
                <w:t>patient.info (otitis externa)</w:t>
              </w:r>
            </w:hyperlink>
            <w:r>
              <w:rPr>
                <w:rFonts w:ascii="Arial" w:eastAsia="Arial" w:hAnsi="Arial" w:cs="Arial"/>
              </w:rPr>
              <w:t xml:space="preserve"> and </w:t>
            </w:r>
            <w:hyperlink r:id="rId21" w:history="1">
              <w:r w:rsidRPr="00120945">
                <w:rPr>
                  <w:rStyle w:val="Hyperlink"/>
                  <w:rFonts w:ascii="Arial" w:eastAsia="Arial" w:hAnsi="Arial" w:cs="Arial"/>
                </w:rPr>
                <w:t>NHS patient leaflet on ear infections</w:t>
              </w:r>
            </w:hyperlink>
            <w:r>
              <w:rPr>
                <w:rFonts w:ascii="Arial" w:eastAsia="Arial" w:hAnsi="Arial" w:cs="Arial"/>
              </w:rPr>
              <w:t>.</w:t>
            </w:r>
            <w:r w:rsidRPr="00120945">
              <w:rPr>
                <w:rFonts w:ascii="Arial" w:eastAsia="Times New Roman" w:hAnsi="Arial" w:cs="Arial"/>
              </w:rPr>
              <w:t xml:space="preserve"> </w:t>
            </w:r>
          </w:p>
        </w:tc>
      </w:tr>
      <w:tr w:rsidR="00526471" w:rsidRPr="00FE57B2" w14:paraId="65936E44" w14:textId="77777777" w:rsidTr="00FD11AF">
        <w:tc>
          <w:tcPr>
            <w:tcW w:w="1367" w:type="pct"/>
            <w:shd w:val="clear" w:color="auto" w:fill="D9D9D9" w:themeFill="background1" w:themeFillShade="D9"/>
          </w:tcPr>
          <w:p w14:paraId="6A18BECB" w14:textId="77777777" w:rsidR="00526471" w:rsidRPr="00F41D3F" w:rsidRDefault="00526471" w:rsidP="00526471">
            <w:pPr>
              <w:spacing w:after="0" w:line="240" w:lineRule="auto"/>
              <w:rPr>
                <w:rFonts w:ascii="Arial" w:eastAsia="Times New Roman" w:hAnsi="Arial" w:cs="Times New Roman"/>
                <w:b/>
              </w:rPr>
            </w:pPr>
            <w:r w:rsidRPr="00F41D3F">
              <w:rPr>
                <w:rFonts w:ascii="Arial" w:eastAsia="Times New Roman" w:hAnsi="Arial" w:cs="Times New Roman"/>
                <w:b/>
              </w:rPr>
              <w:t>Records</w:t>
            </w:r>
          </w:p>
        </w:tc>
        <w:tc>
          <w:tcPr>
            <w:tcW w:w="3633" w:type="pct"/>
          </w:tcPr>
          <w:p w14:paraId="525C6FDA" w14:textId="77777777" w:rsidR="00526471" w:rsidRDefault="00526471" w:rsidP="00526471">
            <w:pPr>
              <w:spacing w:after="0" w:line="240" w:lineRule="auto"/>
              <w:rPr>
                <w:rFonts w:ascii="Arial" w:eastAsia="Times New Roman" w:hAnsi="Arial" w:cs="Arial"/>
              </w:rPr>
            </w:pPr>
            <w:r w:rsidRPr="00F41D3F">
              <w:rPr>
                <w:rFonts w:ascii="Arial" w:eastAsia="Times New Roman" w:hAnsi="Arial" w:cs="Arial"/>
              </w:rPr>
              <w:t xml:space="preserve">A record of administration/supply should be made on patient medication record. </w:t>
            </w:r>
          </w:p>
          <w:p w14:paraId="3F3BCC92" w14:textId="77777777" w:rsidR="00526471" w:rsidRDefault="00526471" w:rsidP="00526471">
            <w:pPr>
              <w:pStyle w:val="TableParagraph"/>
              <w:rPr>
                <w:rFonts w:ascii="Arial" w:eastAsia="Times New Roman" w:hAnsi="Arial" w:cs="Arial"/>
              </w:rPr>
            </w:pPr>
            <w:r>
              <w:rPr>
                <w:rFonts w:ascii="Arial" w:eastAsia="Times New Roman" w:hAnsi="Arial" w:cs="Arial"/>
              </w:rPr>
              <w:t>T</w:t>
            </w:r>
            <w:r w:rsidRPr="00F41D3F">
              <w:rPr>
                <w:rFonts w:ascii="Arial" w:eastAsia="Times New Roman" w:hAnsi="Arial" w:cs="Arial"/>
              </w:rPr>
              <w:t>his should include:</w:t>
            </w:r>
          </w:p>
          <w:p w14:paraId="7423D6BA"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that valid informed consent was given</w:t>
            </w:r>
          </w:p>
          <w:p w14:paraId="1DF187AC"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 xml:space="preserve">name of individual, address, date of birth and GP with whom the individual is registered (if relevant)  </w:t>
            </w:r>
          </w:p>
          <w:p w14:paraId="55EE8CC0"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name of registered health professional</w:t>
            </w:r>
          </w:p>
          <w:p w14:paraId="3B9A9597"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 xml:space="preserve">name of medication supplied/administered </w:t>
            </w:r>
          </w:p>
          <w:p w14:paraId="346994A7"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 xml:space="preserve">date of supply/administration </w:t>
            </w:r>
          </w:p>
          <w:p w14:paraId="5178997E"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 xml:space="preserve">dose, form and route of supply/administration  </w:t>
            </w:r>
          </w:p>
          <w:p w14:paraId="1AA553E9"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quantity supplied/administered</w:t>
            </w:r>
          </w:p>
          <w:p w14:paraId="5390E304"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batch number and expiry date (if applicable)</w:t>
            </w:r>
          </w:p>
          <w:p w14:paraId="7861F454"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advice given, including advice given if excluded or declines treatment</w:t>
            </w:r>
          </w:p>
          <w:p w14:paraId="60E73F96"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details of any adverse drug reactions and actions taken</w:t>
            </w:r>
          </w:p>
          <w:p w14:paraId="227F4E1D" w14:textId="77777777" w:rsidR="00526471" w:rsidRPr="007E45FD" w:rsidRDefault="00526471" w:rsidP="00D03572">
            <w:pPr>
              <w:pStyle w:val="TableParagraph"/>
              <w:numPr>
                <w:ilvl w:val="3"/>
                <w:numId w:val="8"/>
              </w:numPr>
              <w:ind w:left="321" w:hanging="283"/>
              <w:rPr>
                <w:rFonts w:ascii="Arial" w:hAnsi="Arial" w:cs="Arial"/>
                <w:lang w:val="en-GB"/>
              </w:rPr>
            </w:pPr>
            <w:r w:rsidRPr="007E45FD">
              <w:rPr>
                <w:rFonts w:ascii="Arial" w:hAnsi="Arial" w:cs="Arial"/>
                <w:lang w:val="en-GB"/>
              </w:rPr>
              <w:t>supplied via Patient Group Direction (PGD)</w:t>
            </w:r>
          </w:p>
          <w:p w14:paraId="08E4623D" w14:textId="155CB4BF" w:rsidR="00526471" w:rsidRPr="00AD3FCA" w:rsidRDefault="00526471" w:rsidP="00526471">
            <w:pPr>
              <w:spacing w:after="0" w:line="240" w:lineRule="auto"/>
              <w:rPr>
                <w:rFonts w:ascii="Arial" w:hAnsi="Arial" w:cs="Arial"/>
              </w:rPr>
            </w:pPr>
            <w:r w:rsidRPr="00AD3FCA">
              <w:rPr>
                <w:rFonts w:ascii="Arial" w:hAnsi="Arial" w:cs="Arial"/>
              </w:rPr>
              <w:t>Records should be signed and dated, or smart card/</w:t>
            </w:r>
            <w:r w:rsidR="00C5799F" w:rsidRPr="00AD3FCA">
              <w:rPr>
                <w:rFonts w:ascii="Arial" w:hAnsi="Arial" w:cs="Arial"/>
              </w:rPr>
              <w:t>password-controlled</w:t>
            </w:r>
            <w:r w:rsidRPr="00AD3FCA">
              <w:rPr>
                <w:rFonts w:ascii="Arial" w:hAnsi="Arial" w:cs="Arial"/>
              </w:rPr>
              <w:t xml:space="preserve"> e-records. </w:t>
            </w:r>
          </w:p>
          <w:p w14:paraId="3C997E60" w14:textId="77777777" w:rsidR="00526471" w:rsidRPr="00AD3FCA" w:rsidRDefault="00526471" w:rsidP="00526471">
            <w:pPr>
              <w:spacing w:after="0" w:line="240" w:lineRule="auto"/>
              <w:rPr>
                <w:rFonts w:ascii="Arial" w:hAnsi="Arial" w:cs="Arial"/>
              </w:rPr>
            </w:pPr>
            <w:r w:rsidRPr="00AD3FCA">
              <w:rPr>
                <w:rFonts w:ascii="Arial" w:hAnsi="Arial" w:cs="Arial"/>
              </w:rPr>
              <w:t>All records should be clear, legible and contemporaneous.</w:t>
            </w:r>
          </w:p>
          <w:p w14:paraId="6791F5E6" w14:textId="77777777" w:rsidR="00526471" w:rsidRPr="00FE57B2" w:rsidRDefault="00526471" w:rsidP="00526471">
            <w:pPr>
              <w:spacing w:after="0" w:line="240" w:lineRule="auto"/>
              <w:rPr>
                <w:rFonts w:ascii="Arial" w:eastAsia="Times New Roman" w:hAnsi="Arial" w:cs="Arial"/>
                <w:b/>
                <w:bCs/>
              </w:rPr>
            </w:pPr>
            <w:r w:rsidRPr="00AD3FCA">
              <w:rPr>
                <w:rFonts w:ascii="Arial" w:hAnsi="Arial" w:cs="Arial"/>
              </w:rPr>
              <w:t>A record of all individuals receiving treatment under this PGD should also be kept for audit purposes in accordance with local policy.</w:t>
            </w:r>
          </w:p>
        </w:tc>
      </w:tr>
    </w:tbl>
    <w:p w14:paraId="08E823E2" w14:textId="77777777" w:rsidR="00C96A2A" w:rsidRDefault="00C96A2A" w:rsidP="007C6079">
      <w:pPr>
        <w:spacing w:after="0" w:line="240" w:lineRule="auto"/>
      </w:pPr>
    </w:p>
    <w:p w14:paraId="530975DC" w14:textId="77777777" w:rsidR="008B6BB8" w:rsidRDefault="008B6BB8" w:rsidP="007C6079">
      <w:pPr>
        <w:spacing w:after="0" w:line="240" w:lineRule="auto"/>
      </w:pPr>
    </w:p>
    <w:p w14:paraId="1EF1C0EB" w14:textId="14BEE5F9" w:rsidR="001460BE" w:rsidRPr="001B40D5" w:rsidRDefault="001460BE"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cs="Arial"/>
          <w:color w:val="FF0000"/>
        </w:rPr>
      </w:pPr>
      <w:r w:rsidRPr="001B40D5">
        <w:rPr>
          <w:rFonts w:ascii="Arial" w:hAnsi="Arial" w:cs="Arial"/>
          <w:b/>
        </w:rPr>
        <w:t>Key references</w:t>
      </w:r>
      <w:r w:rsidR="00711CDF" w:rsidRPr="001B40D5">
        <w:rPr>
          <w:rFonts w:ascii="Arial" w:hAnsi="Arial" w:cs="Arial"/>
          <w:b/>
        </w:rPr>
        <w:t xml:space="preserve"> </w:t>
      </w:r>
      <w:r w:rsidR="00526471" w:rsidRPr="001B40D5">
        <w:rPr>
          <w:rFonts w:ascii="Arial" w:hAnsi="Arial" w:cs="Arial"/>
          <w:b/>
        </w:rPr>
        <w:t xml:space="preserve"> </w:t>
      </w:r>
    </w:p>
    <w:p w14:paraId="6DB2BB79" w14:textId="77777777" w:rsidR="005D6B89" w:rsidRPr="001460BE" w:rsidRDefault="005D6B89" w:rsidP="007C6079">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6697"/>
      </w:tblGrid>
      <w:tr w:rsidR="001460BE" w:rsidRPr="007E45FD" w14:paraId="7AE0C62A" w14:textId="77777777" w:rsidTr="00FD11AF">
        <w:tc>
          <w:tcPr>
            <w:tcW w:w="1286" w:type="pct"/>
            <w:shd w:val="clear" w:color="auto" w:fill="D9D9D9" w:themeFill="background1" w:themeFillShade="D9"/>
          </w:tcPr>
          <w:p w14:paraId="3B82AED2" w14:textId="5FD2E210" w:rsidR="001460BE" w:rsidRPr="001460BE" w:rsidRDefault="001460BE" w:rsidP="007C6079">
            <w:pPr>
              <w:spacing w:after="0" w:line="240" w:lineRule="auto"/>
              <w:rPr>
                <w:rFonts w:ascii="Arial" w:hAnsi="Arial" w:cs="Arial"/>
                <w:b/>
              </w:rPr>
            </w:pPr>
            <w:r w:rsidRPr="00572FFF">
              <w:rPr>
                <w:rFonts w:cs="Arial"/>
                <w:b/>
              </w:rPr>
              <w:br w:type="page"/>
            </w:r>
            <w:r w:rsidRPr="001460BE">
              <w:rPr>
                <w:rFonts w:ascii="Arial" w:hAnsi="Arial" w:cs="Arial"/>
                <w:b/>
              </w:rPr>
              <w:t>K</w:t>
            </w:r>
            <w:r w:rsidRPr="001460BE">
              <w:rPr>
                <w:rFonts w:ascii="Arial" w:hAnsi="Arial" w:cs="Arial"/>
                <w:b/>
                <w:shd w:val="clear" w:color="auto" w:fill="D9D9D9" w:themeFill="background1" w:themeFillShade="D9"/>
              </w:rPr>
              <w:t>ey</w:t>
            </w:r>
            <w:r w:rsidR="005D6B89">
              <w:rPr>
                <w:rFonts w:ascii="Arial" w:hAnsi="Arial" w:cs="Arial"/>
                <w:b/>
                <w:shd w:val="clear" w:color="auto" w:fill="D9D9D9" w:themeFill="background1" w:themeFillShade="D9"/>
              </w:rPr>
              <w:t xml:space="preserve"> </w:t>
            </w:r>
            <w:r w:rsidRPr="001460BE">
              <w:rPr>
                <w:rFonts w:ascii="Arial" w:hAnsi="Arial" w:cs="Arial"/>
                <w:b/>
              </w:rPr>
              <w:t xml:space="preserve">references </w:t>
            </w:r>
          </w:p>
        </w:tc>
        <w:tc>
          <w:tcPr>
            <w:tcW w:w="3714" w:type="pct"/>
          </w:tcPr>
          <w:p w14:paraId="1F7971A7" w14:textId="77777777" w:rsidR="001460BE" w:rsidRPr="00572FFF" w:rsidRDefault="001460BE" w:rsidP="00D03572">
            <w:pPr>
              <w:pStyle w:val="TableParagraph"/>
              <w:numPr>
                <w:ilvl w:val="0"/>
                <w:numId w:val="5"/>
              </w:numPr>
              <w:rPr>
                <w:rStyle w:val="Hyperlink"/>
                <w:rFonts w:ascii="Arial" w:hAnsi="Arial" w:cs="Arial"/>
              </w:rPr>
            </w:pPr>
            <w:r w:rsidRPr="00572FFF">
              <w:rPr>
                <w:rFonts w:ascii="Arial" w:hAnsi="Arial" w:cs="Arial"/>
              </w:rPr>
              <w:t xml:space="preserve">Electronic Medicines Compendium </w:t>
            </w:r>
            <w:hyperlink r:id="rId22" w:history="1">
              <w:r w:rsidRPr="007E45FD">
                <w:rPr>
                  <w:rStyle w:val="Hyperlink"/>
                  <w:rFonts w:ascii="Arial" w:hAnsi="Arial" w:cs="Arial"/>
                </w:rPr>
                <w:t>http://www.medicines.org.uk/</w:t>
              </w:r>
            </w:hyperlink>
          </w:p>
          <w:p w14:paraId="1109D276" w14:textId="77777777" w:rsidR="001460BE" w:rsidRPr="007E45FD" w:rsidRDefault="001460BE" w:rsidP="00D03572">
            <w:pPr>
              <w:pStyle w:val="TableParagraph"/>
              <w:numPr>
                <w:ilvl w:val="0"/>
                <w:numId w:val="5"/>
              </w:numPr>
              <w:rPr>
                <w:rFonts w:ascii="Arial" w:hAnsi="Arial" w:cs="Arial"/>
              </w:rPr>
            </w:pPr>
            <w:r w:rsidRPr="007E45FD">
              <w:rPr>
                <w:rFonts w:ascii="Arial" w:hAnsi="Arial" w:cs="Arial"/>
              </w:rPr>
              <w:t xml:space="preserve">Electronic BNF and BNFc </w:t>
            </w:r>
            <w:hyperlink r:id="rId23" w:history="1">
              <w:r w:rsidRPr="007E45FD">
                <w:rPr>
                  <w:rStyle w:val="Hyperlink"/>
                  <w:rFonts w:ascii="Arial" w:hAnsi="Arial" w:cs="Arial"/>
                </w:rPr>
                <w:t>https://bnf.nice.org.uk/</w:t>
              </w:r>
            </w:hyperlink>
            <w:r w:rsidRPr="007E45FD">
              <w:rPr>
                <w:rFonts w:ascii="Arial" w:hAnsi="Arial" w:cs="Arial"/>
              </w:rPr>
              <w:t xml:space="preserve"> </w:t>
            </w:r>
          </w:p>
          <w:p w14:paraId="40DBB496" w14:textId="645F3D98" w:rsidR="001460BE" w:rsidRPr="00085C85" w:rsidRDefault="001460BE" w:rsidP="00D03572">
            <w:pPr>
              <w:pStyle w:val="TableParagraph"/>
              <w:numPr>
                <w:ilvl w:val="0"/>
                <w:numId w:val="5"/>
              </w:numPr>
              <w:rPr>
                <w:rStyle w:val="Hyperlink"/>
                <w:rFonts w:ascii="Arial" w:hAnsi="Arial" w:cs="Arial"/>
                <w:color w:val="auto"/>
                <w:u w:val="none"/>
              </w:rPr>
            </w:pPr>
            <w:r w:rsidRPr="007E45FD">
              <w:rPr>
                <w:rFonts w:ascii="Arial" w:hAnsi="Arial" w:cs="Arial"/>
              </w:rPr>
              <w:t xml:space="preserve">NICE Medicines practice guideline “Patient Group </w:t>
            </w:r>
            <w:proofErr w:type="gramStart"/>
            <w:r w:rsidRPr="007E45FD">
              <w:rPr>
                <w:rFonts w:ascii="Arial" w:hAnsi="Arial" w:cs="Arial"/>
              </w:rPr>
              <w:t xml:space="preserve">Directions”   </w:t>
            </w:r>
            <w:proofErr w:type="gramEnd"/>
            <w:r>
              <w:fldChar w:fldCharType="begin"/>
            </w:r>
            <w:r>
              <w:instrText>HYPERLINK "https://www.nice.org.uk/guidance/mpg2"</w:instrText>
            </w:r>
            <w:r>
              <w:fldChar w:fldCharType="separate"/>
            </w:r>
            <w:r w:rsidRPr="007E45FD">
              <w:rPr>
                <w:rStyle w:val="Hyperlink"/>
                <w:rFonts w:ascii="Arial" w:hAnsi="Arial" w:cs="Arial"/>
              </w:rPr>
              <w:t>https://www.nice.org.uk/guidance/mpg2</w:t>
            </w:r>
            <w:r>
              <w:fldChar w:fldCharType="end"/>
            </w:r>
          </w:p>
          <w:p w14:paraId="34CAE03D" w14:textId="57E5B848" w:rsidR="00085C85" w:rsidRPr="00085C85" w:rsidRDefault="00085C85" w:rsidP="00D03572">
            <w:pPr>
              <w:pStyle w:val="ListParagraph"/>
              <w:numPr>
                <w:ilvl w:val="0"/>
                <w:numId w:val="5"/>
              </w:numPr>
              <w:spacing w:after="0" w:line="240" w:lineRule="auto"/>
              <w:rPr>
                <w:rFonts w:ascii="Arial" w:hAnsi="Arial" w:cs="Arial"/>
              </w:rPr>
            </w:pPr>
            <w:hyperlink r:id="rId24" w:history="1">
              <w:r w:rsidRPr="00085C85">
                <w:rPr>
                  <w:rStyle w:val="Hyperlink"/>
                  <w:rFonts w:ascii="Arial" w:hAnsi="Arial" w:cs="Arial"/>
                </w:rPr>
                <w:t xml:space="preserve">Competency framework for health professionals using patient group directions </w:t>
              </w:r>
            </w:hyperlink>
          </w:p>
          <w:p w14:paraId="342DECE1" w14:textId="54646587" w:rsidR="00085C85" w:rsidRPr="00085C85" w:rsidRDefault="001460BE" w:rsidP="00D03572">
            <w:pPr>
              <w:numPr>
                <w:ilvl w:val="0"/>
                <w:numId w:val="5"/>
              </w:numPr>
              <w:spacing w:after="0" w:line="240" w:lineRule="auto"/>
              <w:rPr>
                <w:rFonts w:ascii="Arial" w:eastAsia="Times New Roman" w:hAnsi="Arial" w:cs="Arial"/>
              </w:rPr>
            </w:pPr>
            <w:r w:rsidRPr="00085C85">
              <w:rPr>
                <w:rFonts w:ascii="Arial" w:eastAsia="Times New Roman" w:hAnsi="Arial" w:cs="Arial"/>
              </w:rPr>
              <w:t>NHS Exec. Patient Group Directions (England only). HSC 2000/026. Leeds: NHSE, 200</w:t>
            </w:r>
            <w:r w:rsidR="00085C85" w:rsidRPr="00085C85">
              <w:rPr>
                <w:rFonts w:ascii="Arial" w:hAnsi="Arial" w:cs="Arial"/>
              </w:rPr>
              <w:t>0</w:t>
            </w:r>
          </w:p>
          <w:p w14:paraId="5409C489" w14:textId="77777777" w:rsidR="00085C85" w:rsidRPr="00085C85" w:rsidRDefault="00085C85" w:rsidP="00D03572">
            <w:pPr>
              <w:pStyle w:val="ListParagraph"/>
              <w:numPr>
                <w:ilvl w:val="0"/>
                <w:numId w:val="5"/>
              </w:numPr>
              <w:spacing w:after="0" w:line="240" w:lineRule="auto"/>
              <w:rPr>
                <w:rFonts w:ascii="Arial" w:hAnsi="Arial" w:cs="Arial"/>
                <w:color w:val="0000FF"/>
                <w:u w:val="single"/>
              </w:rPr>
            </w:pPr>
            <w:hyperlink r:id="rId25" w:history="1">
              <w:r w:rsidRPr="00085C85">
                <w:rPr>
                  <w:rFonts w:ascii="Arial" w:hAnsi="Arial" w:cs="Arial"/>
                  <w:color w:val="0000FF"/>
                  <w:u w:val="single"/>
                </w:rPr>
                <w:t>http://www.doh.gov.uk</w:t>
              </w:r>
            </w:hyperlink>
          </w:p>
          <w:p w14:paraId="15C5AD5D" w14:textId="77777777" w:rsidR="00085C85" w:rsidRPr="00085C85" w:rsidRDefault="00085C85" w:rsidP="00D03572">
            <w:pPr>
              <w:pStyle w:val="ListParagraph"/>
              <w:widowControl w:val="0"/>
              <w:numPr>
                <w:ilvl w:val="0"/>
                <w:numId w:val="5"/>
              </w:numPr>
              <w:spacing w:after="0" w:line="240" w:lineRule="auto"/>
              <w:rPr>
                <w:rFonts w:ascii="Arial" w:hAnsi="Arial" w:cs="Arial"/>
                <w:color w:val="FF0000"/>
                <w:kern w:val="28"/>
              </w:rPr>
            </w:pPr>
            <w:r w:rsidRPr="00085C85">
              <w:rPr>
                <w:rFonts w:ascii="Arial" w:hAnsi="Arial" w:cs="Arial"/>
              </w:rPr>
              <w:t xml:space="preserve">The NMC Code of professional standards of practice and behaviour for nurses, midwives and nursing associates (updated 2018) </w:t>
            </w:r>
            <w:hyperlink r:id="rId26" w:history="1">
              <w:r w:rsidRPr="00085C85">
                <w:rPr>
                  <w:rStyle w:val="Hyperlink"/>
                  <w:rFonts w:ascii="Arial" w:hAnsi="Arial" w:cs="Arial"/>
                </w:rPr>
                <w:t>https://www.nmc.org.uk/standards/code/</w:t>
              </w:r>
            </w:hyperlink>
            <w:r w:rsidRPr="00085C85">
              <w:rPr>
                <w:rFonts w:ascii="Arial" w:hAnsi="Arial" w:cs="Arial"/>
              </w:rPr>
              <w:t>,</w:t>
            </w:r>
          </w:p>
          <w:p w14:paraId="7EDA0E4F" w14:textId="1EF4257A" w:rsidR="001460BE" w:rsidRPr="001B40D5" w:rsidRDefault="00085C85" w:rsidP="00D03572">
            <w:pPr>
              <w:pStyle w:val="ListParagraph"/>
              <w:widowControl w:val="0"/>
              <w:numPr>
                <w:ilvl w:val="0"/>
                <w:numId w:val="5"/>
              </w:numPr>
              <w:spacing w:after="0" w:line="240" w:lineRule="auto"/>
              <w:rPr>
                <w:rFonts w:ascii="Arial" w:hAnsi="Arial" w:cs="Arial"/>
                <w:i/>
              </w:rPr>
            </w:pPr>
            <w:hyperlink r:id="rId27" w:history="1">
              <w:r w:rsidRPr="007C6079">
                <w:rPr>
                  <w:rStyle w:val="Hyperlink"/>
                  <w:rFonts w:ascii="Arial" w:hAnsi="Arial" w:cs="Arial"/>
                </w:rPr>
                <w:t>Professional guidance on the safe and secure handling of medicines</w:t>
              </w:r>
            </w:hyperlink>
            <w:r w:rsidRPr="007C6079">
              <w:rPr>
                <w:rFonts w:ascii="Arial" w:hAnsi="Arial" w:cs="Arial"/>
              </w:rPr>
              <w:t xml:space="preserve">, developed by NMC and the </w:t>
            </w:r>
            <w:r w:rsidR="004D51BB">
              <w:rPr>
                <w:rFonts w:ascii="Arial" w:hAnsi="Arial" w:cs="Arial"/>
              </w:rPr>
              <w:t>Royal College of Pharmacy (</w:t>
            </w:r>
            <w:proofErr w:type="spellStart"/>
            <w:r w:rsidR="004D51BB">
              <w:rPr>
                <w:rFonts w:ascii="Arial" w:hAnsi="Arial" w:cs="Arial"/>
              </w:rPr>
              <w:t>RCPharm</w:t>
            </w:r>
            <w:proofErr w:type="spellEnd"/>
            <w:r w:rsidR="004D51BB">
              <w:rPr>
                <w:rFonts w:ascii="Arial" w:hAnsi="Arial" w:cs="Arial"/>
              </w:rPr>
              <w:t>)</w:t>
            </w:r>
          </w:p>
          <w:p w14:paraId="09F0EDD5" w14:textId="5185434C" w:rsidR="00A346B5" w:rsidRPr="00B63FDB" w:rsidRDefault="001B40D5" w:rsidP="00D03572">
            <w:pPr>
              <w:pStyle w:val="ListParagraph"/>
              <w:widowControl w:val="0"/>
              <w:numPr>
                <w:ilvl w:val="0"/>
                <w:numId w:val="5"/>
              </w:numPr>
              <w:spacing w:after="0" w:line="240" w:lineRule="auto"/>
              <w:rPr>
                <w:rFonts w:ascii="Arial" w:hAnsi="Arial" w:cs="Arial"/>
                <w:i/>
              </w:rPr>
            </w:pPr>
            <w:r>
              <w:rPr>
                <w:rFonts w:ascii="Arial" w:hAnsi="Arial" w:cs="Arial"/>
              </w:rPr>
              <w:t xml:space="preserve">BNSSG PGD </w:t>
            </w:r>
            <w:r w:rsidR="00B63FDB">
              <w:rPr>
                <w:rFonts w:ascii="Arial" w:hAnsi="Arial" w:cs="Arial"/>
              </w:rPr>
              <w:t xml:space="preserve">for </w:t>
            </w:r>
            <w:r w:rsidR="0038140C">
              <w:rPr>
                <w:rFonts w:ascii="Arial" w:hAnsi="Arial" w:cs="Arial"/>
              </w:rPr>
              <w:t>Otomize</w:t>
            </w:r>
            <w:r w:rsidR="0038140C" w:rsidRPr="0038140C">
              <w:rPr>
                <w:rFonts w:ascii="Arial" w:hAnsi="Arial" w:cs="Arial"/>
                <w:vertAlign w:val="superscript"/>
              </w:rPr>
              <w:t>®</w:t>
            </w:r>
            <w:r w:rsidR="0038140C">
              <w:rPr>
                <w:rFonts w:ascii="Arial" w:hAnsi="Arial" w:cs="Arial"/>
              </w:rPr>
              <w:t xml:space="preserve"> for otitis externa</w:t>
            </w:r>
            <w:r w:rsidR="008B6BB8">
              <w:rPr>
                <w:rFonts w:ascii="Arial" w:hAnsi="Arial" w:cs="Arial"/>
              </w:rPr>
              <w:t xml:space="preserve">: </w:t>
            </w:r>
            <w:hyperlink r:id="rId28" w:history="1">
              <w:r w:rsidR="0038140C" w:rsidRPr="0038140C">
                <w:rPr>
                  <w:rStyle w:val="Hyperlink"/>
                  <w:rFonts w:ascii="Arial" w:hAnsi="Arial" w:cs="Arial"/>
                </w:rPr>
                <w:t>https://remedy.bnssg.icb.nhs.uk/media/flod250f/bnssg-comm-pharm-</w:t>
              </w:r>
              <w:r w:rsidR="0038140C" w:rsidRPr="00985EC5">
                <w:rPr>
                  <w:rStyle w:val="Hyperlink"/>
                  <w:rFonts w:ascii="Arial" w:hAnsi="Arial" w:cs="Arial"/>
                  <w:u w:val="none"/>
                </w:rPr>
                <w:t>otom</w:t>
              </w:r>
              <w:r w:rsidR="0038140C" w:rsidRPr="0038140C">
                <w:rPr>
                  <w:rStyle w:val="Hyperlink"/>
                  <w:rFonts w:ascii="Arial" w:hAnsi="Arial" w:cs="Arial"/>
                </w:rPr>
                <w:t>ize-pgd-march-25-final-signed.pdf</w:t>
              </w:r>
            </w:hyperlink>
            <w:r w:rsidR="0038140C">
              <w:t xml:space="preserve"> </w:t>
            </w:r>
          </w:p>
        </w:tc>
      </w:tr>
    </w:tbl>
    <w:p w14:paraId="40DB69D7" w14:textId="77777777" w:rsidR="00B63FDB" w:rsidRDefault="00B63FDB"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4AC5A32C" w14:textId="77777777" w:rsidR="00B63FDB" w:rsidRDefault="00B63FDB" w:rsidP="00711CDF">
      <w:pPr>
        <w:pStyle w:val="Header"/>
        <w:tabs>
          <w:tab w:val="clear" w:pos="4513"/>
          <w:tab w:val="clear" w:pos="9026"/>
          <w:tab w:val="left" w:pos="567"/>
          <w:tab w:val="center" w:pos="4153"/>
          <w:tab w:val="right" w:pos="8306"/>
        </w:tabs>
        <w:overflowPunct w:val="0"/>
        <w:autoSpaceDE w:val="0"/>
        <w:autoSpaceDN w:val="0"/>
        <w:adjustRightInd w:val="0"/>
        <w:ind w:left="567"/>
        <w:textAlignment w:val="baseline"/>
        <w:rPr>
          <w:rFonts w:ascii="Arial" w:hAnsi="Arial" w:cs="Arial"/>
          <w:b/>
        </w:rPr>
      </w:pPr>
    </w:p>
    <w:p w14:paraId="545FF0A5" w14:textId="662C1158" w:rsidR="005D6B89" w:rsidRPr="00C5799F" w:rsidRDefault="005D6B89" w:rsidP="00D03572">
      <w:pPr>
        <w:pStyle w:val="Header"/>
        <w:numPr>
          <w:ilvl w:val="0"/>
          <w:numId w:val="4"/>
        </w:numPr>
        <w:tabs>
          <w:tab w:val="clear" w:pos="4513"/>
          <w:tab w:val="clear" w:pos="9026"/>
          <w:tab w:val="left" w:pos="567"/>
          <w:tab w:val="center" w:pos="4153"/>
          <w:tab w:val="right" w:pos="8306"/>
        </w:tabs>
        <w:overflowPunct w:val="0"/>
        <w:autoSpaceDE w:val="0"/>
        <w:autoSpaceDN w:val="0"/>
        <w:adjustRightInd w:val="0"/>
        <w:ind w:left="567" w:hanging="567"/>
        <w:textAlignment w:val="baseline"/>
        <w:rPr>
          <w:rFonts w:ascii="Arial" w:hAnsi="Arial" w:cs="Arial"/>
          <w:b/>
          <w:color w:val="FF0000"/>
        </w:rPr>
      </w:pPr>
      <w:bookmarkStart w:id="6" w:name="_Hlk102985423"/>
      <w:r w:rsidRPr="005D6B89">
        <w:rPr>
          <w:rFonts w:ascii="Arial" w:hAnsi="Arial" w:cs="Arial"/>
          <w:b/>
        </w:rPr>
        <w:t xml:space="preserve">Registered health professional authorisation </w:t>
      </w:r>
      <w:r w:rsidRPr="00C5799F">
        <w:rPr>
          <w:rFonts w:ascii="Arial" w:hAnsi="Arial" w:cs="Arial"/>
          <w:b/>
        </w:rPr>
        <w:t>sheet</w:t>
      </w:r>
      <w:r w:rsidR="00C5799F" w:rsidRPr="00C5799F">
        <w:rPr>
          <w:rFonts w:ascii="Arial" w:hAnsi="Arial" w:cs="Arial"/>
          <w:b/>
          <w:color w:val="FF0000"/>
        </w:rPr>
        <w:t xml:space="preserve"> </w:t>
      </w:r>
    </w:p>
    <w:p w14:paraId="7F9FCDBE" w14:textId="77777777" w:rsidR="005D6B89" w:rsidRPr="005D6B89" w:rsidRDefault="005D6B89" w:rsidP="005D6B89">
      <w:pPr>
        <w:pStyle w:val="Header"/>
        <w:tabs>
          <w:tab w:val="left" w:pos="567"/>
        </w:tabs>
        <w:ind w:left="567"/>
        <w:rPr>
          <w:rFonts w:ascii="Arial" w:hAnsi="Arial" w:cs="Arial"/>
          <w:b/>
        </w:rPr>
      </w:pPr>
    </w:p>
    <w:p w14:paraId="30A4F021" w14:textId="70186634" w:rsidR="005D6B89" w:rsidRPr="00A346B5" w:rsidRDefault="001B32E1" w:rsidP="005D6B89">
      <w:pPr>
        <w:spacing w:after="0" w:line="240" w:lineRule="auto"/>
        <w:ind w:rightChars="-375" w:right="-825"/>
        <w:rPr>
          <w:rFonts w:ascii="Arial" w:hAnsi="Arial" w:cs="Arial"/>
          <w:bCs/>
          <w:color w:val="000000" w:themeColor="text1"/>
          <w:sz w:val="24"/>
          <w:szCs w:val="24"/>
        </w:rPr>
      </w:pPr>
      <w:r w:rsidRPr="001B32E1">
        <w:rPr>
          <w:rFonts w:ascii="Arial" w:hAnsi="Arial" w:cs="Arial"/>
          <w:bCs/>
          <w:sz w:val="24"/>
          <w:szCs w:val="24"/>
        </w:rPr>
        <w:t xml:space="preserve">PGD for </w:t>
      </w:r>
      <w:r w:rsidR="00985EC5">
        <w:rPr>
          <w:rFonts w:ascii="Arial" w:hAnsi="Arial" w:cs="Arial"/>
          <w:color w:val="000000" w:themeColor="text1"/>
          <w:sz w:val="24"/>
          <w:szCs w:val="28"/>
        </w:rPr>
        <w:t xml:space="preserve">Neomycin/dexamethasone/acetic acid ear spray </w:t>
      </w:r>
      <w:r w:rsidR="00FF489C">
        <w:rPr>
          <w:rFonts w:ascii="Arial" w:hAnsi="Arial" w:cs="Arial"/>
          <w:bCs/>
          <w:sz w:val="24"/>
          <w:szCs w:val="24"/>
        </w:rPr>
        <w:t xml:space="preserve">for moderate/severe Otitis Externa </w:t>
      </w:r>
      <w:r w:rsidR="00DF2ACA">
        <w:rPr>
          <w:rFonts w:ascii="Arial" w:hAnsi="Arial" w:cs="Arial"/>
          <w:bCs/>
          <w:sz w:val="24"/>
          <w:szCs w:val="24"/>
        </w:rPr>
        <w:t xml:space="preserve"> </w:t>
      </w:r>
      <w:r w:rsidR="00711CDF" w:rsidRPr="00A346B5">
        <w:rPr>
          <w:rFonts w:ascii="Arial" w:hAnsi="Arial" w:cs="Arial"/>
          <w:bCs/>
          <w:color w:val="000000" w:themeColor="text1"/>
          <w:sz w:val="24"/>
          <w:szCs w:val="24"/>
        </w:rPr>
        <w:t xml:space="preserve"> </w:t>
      </w:r>
    </w:p>
    <w:p w14:paraId="429CF070" w14:textId="77777777" w:rsidR="005D6B89" w:rsidRPr="005D6B89" w:rsidRDefault="005D6B89" w:rsidP="005D6B89">
      <w:pPr>
        <w:spacing w:after="0" w:line="240" w:lineRule="auto"/>
        <w:ind w:rightChars="-375" w:right="-825"/>
        <w:rPr>
          <w:rFonts w:ascii="Arial" w:hAnsi="Arial" w:cs="Arial"/>
          <w:b/>
        </w:rPr>
      </w:pPr>
    </w:p>
    <w:p w14:paraId="19C0D959" w14:textId="7BEFDFB0" w:rsidR="005D6B89" w:rsidRPr="00C5799F" w:rsidRDefault="005D6B89" w:rsidP="005D6B89">
      <w:pPr>
        <w:spacing w:after="0" w:line="240" w:lineRule="auto"/>
        <w:ind w:rightChars="-375" w:right="-825"/>
        <w:rPr>
          <w:rFonts w:ascii="Arial" w:hAnsi="Arial" w:cs="Arial"/>
          <w:b/>
          <w:color w:val="FF0000"/>
        </w:rPr>
      </w:pPr>
      <w:r w:rsidRPr="005D6B89">
        <w:rPr>
          <w:rFonts w:ascii="Arial" w:hAnsi="Arial" w:cs="Arial"/>
          <w:b/>
        </w:rPr>
        <w:t xml:space="preserve"> Valid from:  </w:t>
      </w:r>
      <w:r w:rsidR="00A346B5">
        <w:rPr>
          <w:rFonts w:ascii="Arial" w:hAnsi="Arial" w:cs="Arial"/>
          <w:b/>
        </w:rPr>
        <w:t>1</w:t>
      </w:r>
      <w:r w:rsidR="00A346B5" w:rsidRPr="00A346B5">
        <w:rPr>
          <w:rFonts w:ascii="Arial" w:hAnsi="Arial" w:cs="Arial"/>
          <w:b/>
          <w:vertAlign w:val="superscript"/>
        </w:rPr>
        <w:t>st</w:t>
      </w:r>
      <w:r w:rsidR="00A346B5">
        <w:rPr>
          <w:rFonts w:ascii="Arial" w:hAnsi="Arial" w:cs="Arial"/>
          <w:b/>
        </w:rPr>
        <w:t xml:space="preserve"> July 2026</w:t>
      </w:r>
      <w:r w:rsidRPr="00C5799F">
        <w:rPr>
          <w:rFonts w:ascii="Arial" w:hAnsi="Arial" w:cs="Arial"/>
          <w:b/>
          <w:color w:val="FF0000"/>
        </w:rPr>
        <w:t xml:space="preserve">            </w:t>
      </w:r>
      <w:r w:rsidRPr="005D6B89">
        <w:rPr>
          <w:rFonts w:ascii="Arial" w:hAnsi="Arial" w:cs="Arial"/>
          <w:b/>
        </w:rPr>
        <w:t xml:space="preserve">Expiry: </w:t>
      </w:r>
      <w:r w:rsidR="00A346B5" w:rsidRPr="00A346B5">
        <w:rPr>
          <w:rFonts w:ascii="Arial" w:hAnsi="Arial" w:cs="Arial"/>
          <w:b/>
          <w:color w:val="000000" w:themeColor="text1"/>
        </w:rPr>
        <w:t>30</w:t>
      </w:r>
      <w:r w:rsidR="00A346B5" w:rsidRPr="00A346B5">
        <w:rPr>
          <w:rFonts w:ascii="Arial" w:hAnsi="Arial" w:cs="Arial"/>
          <w:b/>
          <w:color w:val="000000" w:themeColor="text1"/>
          <w:vertAlign w:val="superscript"/>
        </w:rPr>
        <w:t>th</w:t>
      </w:r>
      <w:r w:rsidR="00A346B5" w:rsidRPr="00A346B5">
        <w:rPr>
          <w:rFonts w:ascii="Arial" w:hAnsi="Arial" w:cs="Arial"/>
          <w:b/>
          <w:color w:val="000000" w:themeColor="text1"/>
        </w:rPr>
        <w:t xml:space="preserve"> June 2029</w:t>
      </w:r>
    </w:p>
    <w:p w14:paraId="165EEAF3" w14:textId="77777777" w:rsidR="005D6B89" w:rsidRPr="005D6B89" w:rsidRDefault="005D6B89" w:rsidP="005D6B89">
      <w:pPr>
        <w:spacing w:after="0" w:line="240" w:lineRule="auto"/>
        <w:rPr>
          <w:rFonts w:ascii="Arial" w:hAnsi="Arial" w:cs="Arial"/>
          <w:b/>
        </w:rPr>
      </w:pPr>
    </w:p>
    <w:p w14:paraId="0418F145" w14:textId="174E6F6C" w:rsidR="00EC27C8" w:rsidRPr="005D6B89" w:rsidRDefault="005D6B89" w:rsidP="00E91DD5">
      <w:pPr>
        <w:spacing w:after="0" w:line="240" w:lineRule="auto"/>
        <w:rPr>
          <w:rFonts w:ascii="Arial" w:hAnsi="Arial" w:cs="Arial"/>
        </w:rPr>
      </w:pPr>
      <w:r w:rsidRPr="005D6B89">
        <w:rPr>
          <w:rFonts w:ascii="Arial" w:hAnsi="Arial" w:cs="Arial"/>
        </w:rPr>
        <w:t>Before signing this PGD, check that the document has had the necessary authorisations in section 2. Without these, this PGD is not lawfully valid.</w:t>
      </w:r>
      <w:r w:rsidR="004D51BB">
        <w:rPr>
          <w:rFonts w:ascii="Arial" w:hAnsi="Arial" w:cs="Arial"/>
          <w:b/>
          <w:bCs/>
        </w:rPr>
        <w:t xml:space="preserve"> </w:t>
      </w:r>
      <w:r w:rsidR="00EC27C8" w:rsidRPr="00EC27C8">
        <w:rPr>
          <w:rFonts w:ascii="Arial" w:hAnsi="Arial" w:cs="Arial"/>
          <w:b/>
          <w:bCs/>
        </w:rPr>
        <w:t>Please note</w:t>
      </w:r>
      <w:r w:rsidR="00EC27C8" w:rsidRPr="00EC27C8">
        <w:rPr>
          <w:rFonts w:ascii="Arial" w:hAnsi="Arial" w:cs="Arial"/>
        </w:rPr>
        <w:t>: All practitioners using the PGD should retain a ‘fully signed’ copy for their personal use/files</w:t>
      </w:r>
    </w:p>
    <w:p w14:paraId="53010E7E" w14:textId="77777777" w:rsidR="005D6B89" w:rsidRPr="005D6B89" w:rsidRDefault="005D6B89" w:rsidP="005D6B89">
      <w:pPr>
        <w:spacing w:after="0" w:line="240" w:lineRule="auto"/>
        <w:rPr>
          <w:rFonts w:ascii="Arial" w:hAnsi="Arial" w:cs="Arial"/>
          <w:b/>
        </w:rPr>
      </w:pPr>
      <w:r w:rsidRPr="005D6B89">
        <w:rPr>
          <w:rFonts w:ascii="Arial" w:hAnsi="Arial" w:cs="Arial"/>
          <w:b/>
        </w:rPr>
        <w:t>Registered health professional</w:t>
      </w:r>
    </w:p>
    <w:p w14:paraId="6A95C878" w14:textId="7E6FDE7D" w:rsidR="005D6B89" w:rsidRPr="005D6B89" w:rsidRDefault="005D6B89" w:rsidP="005D6B89">
      <w:pPr>
        <w:spacing w:after="0" w:line="240" w:lineRule="auto"/>
        <w:rPr>
          <w:rFonts w:ascii="Arial" w:hAnsi="Arial" w:cs="Arial"/>
        </w:rPr>
      </w:pPr>
      <w:r w:rsidRPr="005D6B89">
        <w:rPr>
          <w:rFonts w:ascii="Arial" w:hAnsi="Arial" w:cs="Arial"/>
        </w:rPr>
        <w:t>By signing this patient group direction</w:t>
      </w:r>
      <w:r>
        <w:rPr>
          <w:rFonts w:ascii="Arial" w:hAnsi="Arial" w:cs="Arial"/>
        </w:rPr>
        <w:t>,</w:t>
      </w:r>
      <w:r w:rsidRPr="005D6B89">
        <w:rPr>
          <w:rFonts w:ascii="Arial" w:hAnsi="Arial" w:cs="Arial"/>
        </w:rPr>
        <w:t xml:space="preserve"> you are indicating that you agree to its contents and that you will work within it.</w:t>
      </w:r>
    </w:p>
    <w:p w14:paraId="0F38A0F4" w14:textId="77777777" w:rsidR="005D6B89" w:rsidRPr="005D6B89" w:rsidRDefault="005D6B89" w:rsidP="005D6B89">
      <w:pPr>
        <w:spacing w:after="0" w:line="240" w:lineRule="auto"/>
        <w:rPr>
          <w:rFonts w:ascii="Arial" w:hAnsi="Arial" w:cs="Arial"/>
        </w:rPr>
      </w:pPr>
      <w:r w:rsidRPr="005D6B89">
        <w:rPr>
          <w:rFonts w:ascii="Arial" w:hAnsi="Arial" w:cs="Arial"/>
        </w:rPr>
        <w:t>Patient group directions do not remove inherent professional obligations or accountability.</w:t>
      </w:r>
    </w:p>
    <w:p w14:paraId="0A835FB3" w14:textId="270BD9D4" w:rsidR="005D6B89" w:rsidRDefault="005D6B89" w:rsidP="005D6B89">
      <w:pPr>
        <w:spacing w:after="0" w:line="240" w:lineRule="auto"/>
        <w:rPr>
          <w:rFonts w:ascii="Arial" w:hAnsi="Arial" w:cs="Arial"/>
        </w:rPr>
      </w:pPr>
      <w:r w:rsidRPr="005D6B89">
        <w:rPr>
          <w:rFonts w:ascii="Arial" w:hAnsi="Arial" w:cs="Arial"/>
        </w:rPr>
        <w:t>It is the responsibility of each professional to practise only within the bounds of their own competence and professional code of conduct.</w:t>
      </w:r>
    </w:p>
    <w:p w14:paraId="38676FF2"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If this is an updated PGD please ensure that all older versions are withdrawn from use with immediate effect.</w:t>
      </w:r>
    </w:p>
    <w:p w14:paraId="733E7AA4" w14:textId="77777777" w:rsidR="005D6B89" w:rsidRPr="00F41D3F" w:rsidRDefault="005D6B89" w:rsidP="005D6B89">
      <w:pPr>
        <w:spacing w:after="0" w:line="240" w:lineRule="auto"/>
        <w:jc w:val="both"/>
        <w:rPr>
          <w:rFonts w:ascii="Arial" w:eastAsia="Times New Roman" w:hAnsi="Arial" w:cs="Arial"/>
        </w:rPr>
      </w:pPr>
      <w:r w:rsidRPr="00F41D3F">
        <w:rPr>
          <w:rFonts w:ascii="Arial" w:eastAsia="Times New Roman" w:hAnsi="Arial" w:cs="Arial"/>
        </w:rPr>
        <w:t>It is your responsibility to make sure you are using the current version.</w:t>
      </w:r>
    </w:p>
    <w:p w14:paraId="0083B800" w14:textId="77777777" w:rsidR="005D6B89" w:rsidRPr="005D6B89" w:rsidRDefault="005D6B89" w:rsidP="005D6B89">
      <w:pPr>
        <w:spacing w:after="0" w:line="240" w:lineRule="auto"/>
        <w:rPr>
          <w:rFonts w:ascii="Arial" w:hAnsi="Arial" w:cs="Arial"/>
        </w:rPr>
      </w:pP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760FE6E0" w14:textId="77777777" w:rsidTr="005D6B89">
        <w:tc>
          <w:tcPr>
            <w:tcW w:w="9016" w:type="dxa"/>
            <w:gridSpan w:val="4"/>
            <w:shd w:val="clear" w:color="auto" w:fill="D9D9D9" w:themeFill="background1" w:themeFillShade="D9"/>
          </w:tcPr>
          <w:p w14:paraId="6CFB0C33" w14:textId="77777777" w:rsidR="005D6B89" w:rsidRPr="005D6B89" w:rsidRDefault="005D6B89" w:rsidP="005D6B89">
            <w:pPr>
              <w:pStyle w:val="BodyText2"/>
              <w:rPr>
                <w:rFonts w:cs="Arial"/>
                <w:b/>
                <w:sz w:val="22"/>
                <w:szCs w:val="22"/>
              </w:rPr>
            </w:pPr>
            <w:r w:rsidRPr="005D6B89">
              <w:rPr>
                <w:rFonts w:cs="Arial"/>
                <w:b/>
                <w:sz w:val="22"/>
                <w:szCs w:val="22"/>
              </w:rPr>
              <w:t>I confirm that I have read and understood the content of this Patient Group Direction and that I am willing and competent to work to it within my professional code of conduct.</w:t>
            </w:r>
          </w:p>
        </w:tc>
      </w:tr>
      <w:tr w:rsidR="005D6B89" w:rsidRPr="005D6B89" w14:paraId="63938A29" w14:textId="77777777" w:rsidTr="005D6B89">
        <w:tc>
          <w:tcPr>
            <w:tcW w:w="2293" w:type="dxa"/>
            <w:shd w:val="clear" w:color="auto" w:fill="D9D9D9" w:themeFill="background1" w:themeFillShade="D9"/>
          </w:tcPr>
          <w:p w14:paraId="5B19245F"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6E953A3C"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6DE7F4F3"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76ACF081"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0629C1A" w14:textId="77777777" w:rsidTr="005D6B89">
        <w:tc>
          <w:tcPr>
            <w:tcW w:w="2293" w:type="dxa"/>
          </w:tcPr>
          <w:p w14:paraId="2E282621"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54B94A8"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4F92D49C"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EF34DD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66FF3EBF"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9172450"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37D905BA"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BBD834B"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54217379" w14:textId="77777777" w:rsidTr="005D6B89">
        <w:tc>
          <w:tcPr>
            <w:tcW w:w="2293" w:type="dxa"/>
          </w:tcPr>
          <w:p w14:paraId="720B72B3"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3C3C3464"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6CB2A17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BE83FF9"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37EAF7B8"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C2E1387"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1EAFF909"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FF1A3B0" w14:textId="77777777" w:rsidR="005D6B89" w:rsidRPr="005D6B89" w:rsidRDefault="005D6B89" w:rsidP="005D6B89">
            <w:pPr>
              <w:pStyle w:val="Title"/>
              <w:jc w:val="left"/>
              <w:rPr>
                <w:rFonts w:ascii="Arial" w:hAnsi="Arial" w:cs="Arial"/>
                <w:b w:val="0"/>
                <w:color w:val="000000" w:themeColor="text1"/>
                <w:sz w:val="22"/>
                <w:szCs w:val="22"/>
              </w:rPr>
            </w:pPr>
          </w:p>
        </w:tc>
      </w:tr>
      <w:tr w:rsidR="005D6B89" w:rsidRPr="005D6B89" w14:paraId="651E4EF5" w14:textId="77777777" w:rsidTr="005D6B89">
        <w:trPr>
          <w:trHeight w:val="569"/>
        </w:trPr>
        <w:tc>
          <w:tcPr>
            <w:tcW w:w="2293" w:type="dxa"/>
          </w:tcPr>
          <w:p w14:paraId="2257CF5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1DB8E830"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59B02EC9"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56FFBB72"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2BC6E9DE"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0906C13E"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633027F6"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979EA4C" w14:textId="77777777" w:rsidR="005D6B89" w:rsidRPr="005D6B89" w:rsidRDefault="005D6B89" w:rsidP="005D6B89">
            <w:pPr>
              <w:pStyle w:val="Title"/>
              <w:jc w:val="left"/>
              <w:rPr>
                <w:rFonts w:ascii="Arial" w:hAnsi="Arial" w:cs="Arial"/>
                <w:b w:val="0"/>
                <w:color w:val="000000" w:themeColor="text1"/>
                <w:sz w:val="22"/>
                <w:szCs w:val="22"/>
              </w:rPr>
            </w:pPr>
          </w:p>
        </w:tc>
      </w:tr>
    </w:tbl>
    <w:p w14:paraId="600CE10A" w14:textId="77777777" w:rsidR="00EC27C8" w:rsidRDefault="00EC27C8" w:rsidP="005D6B89">
      <w:pPr>
        <w:spacing w:after="0" w:line="240" w:lineRule="auto"/>
        <w:rPr>
          <w:rFonts w:ascii="Arial" w:hAnsi="Arial" w:cs="Arial"/>
          <w:b/>
        </w:rPr>
      </w:pPr>
    </w:p>
    <w:p w14:paraId="78D8F948" w14:textId="31D8AA60" w:rsidR="005D6B89" w:rsidRPr="005D6B89" w:rsidRDefault="005D6B89" w:rsidP="005D6B89">
      <w:pPr>
        <w:spacing w:after="0" w:line="240" w:lineRule="auto"/>
        <w:rPr>
          <w:rFonts w:ascii="Arial" w:hAnsi="Arial" w:cs="Arial"/>
          <w:b/>
        </w:rPr>
      </w:pPr>
      <w:r w:rsidRPr="005D6B89">
        <w:rPr>
          <w:rFonts w:ascii="Arial" w:hAnsi="Arial" w:cs="Arial"/>
          <w:b/>
        </w:rPr>
        <w:t xml:space="preserve">Authorising manager </w:t>
      </w:r>
    </w:p>
    <w:tbl>
      <w:tblPr>
        <w:tblStyle w:val="TableGrid"/>
        <w:tblW w:w="0" w:type="auto"/>
        <w:tblLook w:val="04A0" w:firstRow="1" w:lastRow="0" w:firstColumn="1" w:lastColumn="0" w:noHBand="0" w:noVBand="1"/>
      </w:tblPr>
      <w:tblGrid>
        <w:gridCol w:w="2293"/>
        <w:gridCol w:w="2902"/>
        <w:gridCol w:w="2500"/>
        <w:gridCol w:w="1321"/>
      </w:tblGrid>
      <w:tr w:rsidR="005D6B89" w:rsidRPr="005D6B89" w14:paraId="507BE5BE" w14:textId="77777777" w:rsidTr="004D51BB">
        <w:tc>
          <w:tcPr>
            <w:tcW w:w="9016" w:type="dxa"/>
            <w:gridSpan w:val="4"/>
            <w:shd w:val="clear" w:color="auto" w:fill="D9D9D9" w:themeFill="background1" w:themeFillShade="D9"/>
          </w:tcPr>
          <w:p w14:paraId="36E0286E" w14:textId="4137B7C2" w:rsidR="005D6B89" w:rsidRPr="005D6B89" w:rsidRDefault="005D6B89" w:rsidP="005D6B89">
            <w:pPr>
              <w:pStyle w:val="BodyText"/>
              <w:spacing w:after="0"/>
              <w:ind w:right="423"/>
              <w:rPr>
                <w:rFonts w:cs="Arial"/>
                <w:b/>
                <w:sz w:val="22"/>
                <w:szCs w:val="22"/>
              </w:rPr>
            </w:pPr>
            <w:r w:rsidRPr="005D6B89">
              <w:rPr>
                <w:rFonts w:cs="Arial"/>
                <w:b/>
                <w:sz w:val="22"/>
                <w:szCs w:val="22"/>
              </w:rPr>
              <w:t xml:space="preserve">I confirm that the registered health professionals named above have declared themselves suitably trained and competent to work under this PGD. I give authorisation on behalf of </w:t>
            </w:r>
            <w:r w:rsidR="00A346B5" w:rsidRPr="00A346B5">
              <w:rPr>
                <w:rFonts w:cs="Arial"/>
                <w:b/>
                <w:sz w:val="22"/>
                <w:szCs w:val="22"/>
              </w:rPr>
              <w:t>NHS Gloucestershire ICB</w:t>
            </w:r>
            <w:r w:rsidRPr="005D6B89">
              <w:rPr>
                <w:rFonts w:cs="Arial"/>
                <w:b/>
                <w:color w:val="000000" w:themeColor="text1"/>
                <w:sz w:val="22"/>
                <w:szCs w:val="22"/>
              </w:rPr>
              <w:t xml:space="preserve"> </w:t>
            </w:r>
            <w:r w:rsidRPr="005D6B89">
              <w:rPr>
                <w:rFonts w:cs="Arial"/>
                <w:b/>
                <w:sz w:val="22"/>
                <w:szCs w:val="22"/>
              </w:rPr>
              <w:t xml:space="preserve">for the </w:t>
            </w:r>
            <w:proofErr w:type="gramStart"/>
            <w:r w:rsidRPr="005D6B89">
              <w:rPr>
                <w:rFonts w:cs="Arial"/>
                <w:b/>
                <w:sz w:val="22"/>
                <w:szCs w:val="22"/>
              </w:rPr>
              <w:t>above named</w:t>
            </w:r>
            <w:proofErr w:type="gramEnd"/>
            <w:r w:rsidRPr="005D6B89">
              <w:rPr>
                <w:rFonts w:cs="Arial"/>
                <w:b/>
                <w:sz w:val="22"/>
                <w:szCs w:val="22"/>
              </w:rPr>
              <w:t xml:space="preserve"> health care professionals who have signed the PGD to work under it.</w:t>
            </w:r>
          </w:p>
        </w:tc>
      </w:tr>
      <w:tr w:rsidR="005D6B89" w:rsidRPr="005D6B89" w14:paraId="1F988BF3" w14:textId="77777777" w:rsidTr="004D51BB">
        <w:tc>
          <w:tcPr>
            <w:tcW w:w="2293" w:type="dxa"/>
            <w:shd w:val="clear" w:color="auto" w:fill="D9D9D9" w:themeFill="background1" w:themeFillShade="D9"/>
          </w:tcPr>
          <w:p w14:paraId="3C298570" w14:textId="77777777" w:rsidR="005D6B89" w:rsidRPr="005D6B89" w:rsidRDefault="005D6B89" w:rsidP="005D6B89">
            <w:pPr>
              <w:rPr>
                <w:rFonts w:ascii="Arial" w:hAnsi="Arial" w:cs="Arial"/>
                <w:b/>
              </w:rPr>
            </w:pPr>
            <w:r w:rsidRPr="005D6B89">
              <w:rPr>
                <w:rFonts w:ascii="Arial" w:hAnsi="Arial" w:cs="Arial"/>
                <w:b/>
              </w:rPr>
              <w:t>Name</w:t>
            </w:r>
          </w:p>
        </w:tc>
        <w:tc>
          <w:tcPr>
            <w:tcW w:w="2902" w:type="dxa"/>
            <w:shd w:val="clear" w:color="auto" w:fill="D9D9D9" w:themeFill="background1" w:themeFillShade="D9"/>
          </w:tcPr>
          <w:p w14:paraId="1FF0E43E" w14:textId="77777777" w:rsidR="005D6B89" w:rsidRPr="005D6B89" w:rsidRDefault="005D6B89" w:rsidP="005D6B89">
            <w:pPr>
              <w:rPr>
                <w:rFonts w:ascii="Arial" w:hAnsi="Arial" w:cs="Arial"/>
                <w:b/>
              </w:rPr>
            </w:pPr>
            <w:r w:rsidRPr="005D6B89">
              <w:rPr>
                <w:rFonts w:ascii="Arial" w:hAnsi="Arial" w:cs="Arial"/>
                <w:b/>
              </w:rPr>
              <w:t>Designation</w:t>
            </w:r>
          </w:p>
        </w:tc>
        <w:tc>
          <w:tcPr>
            <w:tcW w:w="2500" w:type="dxa"/>
            <w:shd w:val="clear" w:color="auto" w:fill="D9D9D9" w:themeFill="background1" w:themeFillShade="D9"/>
          </w:tcPr>
          <w:p w14:paraId="7770EE18" w14:textId="77777777" w:rsidR="005D6B89" w:rsidRPr="005D6B89" w:rsidRDefault="005D6B89" w:rsidP="005D6B89">
            <w:pPr>
              <w:rPr>
                <w:rFonts w:ascii="Arial" w:hAnsi="Arial" w:cs="Arial"/>
                <w:b/>
              </w:rPr>
            </w:pPr>
            <w:r w:rsidRPr="005D6B89">
              <w:rPr>
                <w:rFonts w:ascii="Arial" w:hAnsi="Arial" w:cs="Arial"/>
                <w:b/>
              </w:rPr>
              <w:t>Signature</w:t>
            </w:r>
          </w:p>
        </w:tc>
        <w:tc>
          <w:tcPr>
            <w:tcW w:w="1321" w:type="dxa"/>
            <w:shd w:val="clear" w:color="auto" w:fill="D9D9D9" w:themeFill="background1" w:themeFillShade="D9"/>
          </w:tcPr>
          <w:p w14:paraId="426B0B2D" w14:textId="77777777" w:rsidR="005D6B89" w:rsidRPr="005D6B89" w:rsidRDefault="005D6B89" w:rsidP="005D6B89">
            <w:pPr>
              <w:rPr>
                <w:rFonts w:ascii="Arial" w:hAnsi="Arial" w:cs="Arial"/>
                <w:b/>
              </w:rPr>
            </w:pPr>
            <w:r w:rsidRPr="005D6B89">
              <w:rPr>
                <w:rFonts w:ascii="Arial" w:hAnsi="Arial" w:cs="Arial"/>
                <w:b/>
              </w:rPr>
              <w:t>Date</w:t>
            </w:r>
          </w:p>
        </w:tc>
      </w:tr>
      <w:tr w:rsidR="005D6B89" w:rsidRPr="005D6B89" w14:paraId="5D0FFE05" w14:textId="77777777" w:rsidTr="004D51BB">
        <w:tc>
          <w:tcPr>
            <w:tcW w:w="2293" w:type="dxa"/>
          </w:tcPr>
          <w:p w14:paraId="3A3DB182"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BCFA5F6" w14:textId="77777777" w:rsidR="005D6B89" w:rsidRPr="005D6B89" w:rsidRDefault="005D6B89" w:rsidP="005D6B89">
            <w:pPr>
              <w:pStyle w:val="Title"/>
              <w:jc w:val="left"/>
              <w:rPr>
                <w:rFonts w:ascii="Arial" w:hAnsi="Arial" w:cs="Arial"/>
                <w:b w:val="0"/>
                <w:color w:val="000000" w:themeColor="text1"/>
                <w:sz w:val="22"/>
                <w:szCs w:val="22"/>
              </w:rPr>
            </w:pPr>
          </w:p>
        </w:tc>
        <w:tc>
          <w:tcPr>
            <w:tcW w:w="2902" w:type="dxa"/>
          </w:tcPr>
          <w:p w14:paraId="181EB120"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6C7DDBAF" w14:textId="77777777" w:rsidR="005D6B89" w:rsidRPr="005D6B89" w:rsidRDefault="005D6B89" w:rsidP="005D6B89">
            <w:pPr>
              <w:pStyle w:val="Title"/>
              <w:jc w:val="left"/>
              <w:rPr>
                <w:rFonts w:ascii="Arial" w:hAnsi="Arial" w:cs="Arial"/>
                <w:b w:val="0"/>
                <w:color w:val="000000" w:themeColor="text1"/>
                <w:sz w:val="22"/>
                <w:szCs w:val="22"/>
              </w:rPr>
            </w:pPr>
          </w:p>
        </w:tc>
        <w:tc>
          <w:tcPr>
            <w:tcW w:w="2500" w:type="dxa"/>
          </w:tcPr>
          <w:p w14:paraId="3361B838"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46E508B2" w14:textId="77777777" w:rsidR="005D6B89" w:rsidRPr="005D6B89" w:rsidRDefault="005D6B89" w:rsidP="005D6B89">
            <w:pPr>
              <w:pStyle w:val="Title"/>
              <w:jc w:val="left"/>
              <w:rPr>
                <w:rFonts w:ascii="Arial" w:hAnsi="Arial" w:cs="Arial"/>
                <w:b w:val="0"/>
                <w:color w:val="000000" w:themeColor="text1"/>
                <w:sz w:val="22"/>
                <w:szCs w:val="22"/>
              </w:rPr>
            </w:pPr>
          </w:p>
        </w:tc>
        <w:tc>
          <w:tcPr>
            <w:tcW w:w="1321" w:type="dxa"/>
          </w:tcPr>
          <w:p w14:paraId="5B8B7206" w14:textId="77777777" w:rsidR="005D6B89" w:rsidRPr="005D6B89" w:rsidRDefault="005D6B89" w:rsidP="005D6B89">
            <w:pPr>
              <w:pStyle w:val="Title"/>
              <w:jc w:val="left"/>
              <w:rPr>
                <w:rFonts w:ascii="Arial" w:hAnsi="Arial" w:cs="Arial"/>
                <w:b w:val="0"/>
                <w:color w:val="000000" w:themeColor="text1"/>
                <w:sz w:val="22"/>
                <w:szCs w:val="22"/>
              </w:rPr>
            </w:pPr>
            <w:r w:rsidRPr="005D6B89">
              <w:rPr>
                <w:rFonts w:ascii="Arial" w:hAnsi="Arial" w:cs="Arial"/>
                <w:b w:val="0"/>
                <w:color w:val="000000" w:themeColor="text1"/>
                <w:sz w:val="22"/>
                <w:szCs w:val="22"/>
              </w:rPr>
              <w:t xml:space="preserve"> </w:t>
            </w:r>
          </w:p>
          <w:p w14:paraId="0FA23676" w14:textId="77777777" w:rsidR="005D6B89" w:rsidRPr="005D6B89" w:rsidRDefault="005D6B89" w:rsidP="005D6B89">
            <w:pPr>
              <w:pStyle w:val="Title"/>
              <w:jc w:val="left"/>
              <w:rPr>
                <w:rFonts w:ascii="Arial" w:hAnsi="Arial" w:cs="Arial"/>
                <w:b w:val="0"/>
                <w:color w:val="000000" w:themeColor="text1"/>
                <w:sz w:val="22"/>
                <w:szCs w:val="22"/>
              </w:rPr>
            </w:pPr>
          </w:p>
        </w:tc>
      </w:tr>
    </w:tbl>
    <w:p w14:paraId="10CE0674" w14:textId="77777777" w:rsidR="004D51BB" w:rsidRPr="0062431F" w:rsidRDefault="004D51BB" w:rsidP="004D51BB">
      <w:pPr>
        <w:pStyle w:val="BodyText"/>
        <w:spacing w:after="0"/>
        <w:rPr>
          <w:rFonts w:cs="Arial"/>
          <w:b/>
          <w:i/>
          <w:iCs/>
          <w:sz w:val="18"/>
          <w:szCs w:val="18"/>
        </w:rPr>
      </w:pPr>
      <w:r w:rsidRPr="0062431F">
        <w:rPr>
          <w:rFonts w:cs="Arial"/>
          <w:b/>
          <w:i/>
          <w:iCs/>
          <w:sz w:val="18"/>
          <w:szCs w:val="18"/>
        </w:rPr>
        <w:t>Note to authorising manager</w:t>
      </w:r>
    </w:p>
    <w:p w14:paraId="4ADA5A52" w14:textId="77777777" w:rsidR="004D51BB" w:rsidRPr="0062431F" w:rsidRDefault="004D51BB" w:rsidP="004D51BB">
      <w:pPr>
        <w:spacing w:after="0" w:line="240" w:lineRule="auto"/>
        <w:rPr>
          <w:rFonts w:ascii="Arial" w:hAnsi="Arial" w:cs="Arial"/>
          <w:i/>
          <w:iCs/>
          <w:sz w:val="18"/>
          <w:szCs w:val="18"/>
        </w:rPr>
      </w:pPr>
      <w:r w:rsidRPr="0062431F">
        <w:rPr>
          <w:rFonts w:ascii="Arial" w:hAnsi="Arial" w:cs="Arial"/>
          <w:i/>
          <w:iCs/>
          <w:sz w:val="18"/>
          <w:szCs w:val="18"/>
        </w:rPr>
        <w:t>Score through unused rows in the list of registered health professionals to prevent additions post managerial authorisation.</w:t>
      </w:r>
    </w:p>
    <w:p w14:paraId="35C7CEE3" w14:textId="77777777" w:rsidR="004D51BB" w:rsidRPr="0062431F" w:rsidRDefault="004D51BB" w:rsidP="004D51BB">
      <w:pPr>
        <w:spacing w:after="0" w:line="240" w:lineRule="auto"/>
        <w:rPr>
          <w:rFonts w:ascii="Arial" w:hAnsi="Arial" w:cs="Arial"/>
          <w:i/>
          <w:iCs/>
          <w:sz w:val="18"/>
          <w:szCs w:val="18"/>
        </w:rPr>
      </w:pPr>
    </w:p>
    <w:p w14:paraId="4D589ECD" w14:textId="77777777" w:rsidR="004D51BB" w:rsidRPr="0062431F" w:rsidRDefault="004D51BB" w:rsidP="004D51BB">
      <w:pPr>
        <w:spacing w:after="0" w:line="240" w:lineRule="auto"/>
        <w:rPr>
          <w:rFonts w:ascii="Arial" w:eastAsia="Times New Roman" w:hAnsi="Arial" w:cs="Arial"/>
          <w:bCs/>
          <w:i/>
          <w:iCs/>
          <w:sz w:val="18"/>
          <w:szCs w:val="18"/>
        </w:rPr>
      </w:pPr>
      <w:r w:rsidRPr="0062431F">
        <w:rPr>
          <w:rFonts w:ascii="Arial" w:eastAsia="Times New Roman" w:hAnsi="Arial" w:cs="Arial"/>
          <w:b/>
          <w:bCs/>
          <w:i/>
          <w:iCs/>
          <w:sz w:val="18"/>
          <w:szCs w:val="18"/>
        </w:rPr>
        <w:t>Please note</w:t>
      </w:r>
      <w:r w:rsidRPr="0062431F">
        <w:rPr>
          <w:rFonts w:ascii="Arial" w:eastAsia="Times New Roman" w:hAnsi="Arial" w:cs="Arial"/>
          <w:b/>
          <w:i/>
          <w:iCs/>
          <w:sz w:val="18"/>
          <w:szCs w:val="18"/>
        </w:rPr>
        <w:t xml:space="preserve">: </w:t>
      </w:r>
      <w:r w:rsidRPr="0062431F">
        <w:rPr>
          <w:rFonts w:ascii="Arial" w:eastAsia="Times New Roman" w:hAnsi="Arial" w:cs="Arial"/>
          <w:bCs/>
          <w:i/>
          <w:iCs/>
          <w:sz w:val="18"/>
          <w:szCs w:val="18"/>
        </w:rPr>
        <w:t xml:space="preserve">All community pharmacies must retain a signed copy, the Authorising Manager (or Authorising Body Signatory) box is typically signed by the Superintendent Pharmacist, a Chief Pharmacist, or a designated Clinical Governance Lead who has the organisational authority to sign on behalf of the pharmacy provider. </w:t>
      </w:r>
    </w:p>
    <w:p w14:paraId="5BD0EB1F" w14:textId="77777777" w:rsidR="004D51BB" w:rsidRPr="0062431F" w:rsidRDefault="004D51BB" w:rsidP="004D51BB">
      <w:p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The signing process typically involves the following key individuals:</w:t>
      </w:r>
    </w:p>
    <w:p w14:paraId="78D8FD7E" w14:textId="77777777" w:rsidR="004D51BB" w:rsidRPr="0062431F" w:rsidRDefault="004D51BB" w:rsidP="00D03572">
      <w:pPr>
        <w:numPr>
          <w:ilvl w:val="0"/>
          <w:numId w:val="19"/>
        </w:numPr>
        <w:tabs>
          <w:tab w:val="clear" w:pos="360"/>
          <w:tab w:val="num" w:pos="720"/>
        </w:tabs>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Authorising Manager: Signs the organisational authorisation box to confirm the Patient Group Direction (PGD) is legal, fit for purpose, and that proper local processes are in place. This person must not be the same individual who is practicing under the PGD itself. </w:t>
      </w:r>
    </w:p>
    <w:p w14:paraId="3781C6EE" w14:textId="77777777" w:rsidR="004D51BB" w:rsidRPr="0062431F" w:rsidRDefault="004D51BB" w:rsidP="00D03572">
      <w:pPr>
        <w:numPr>
          <w:ilvl w:val="0"/>
          <w:numId w:val="19"/>
        </w:numPr>
        <w:spacing w:after="0" w:line="240" w:lineRule="auto"/>
        <w:rPr>
          <w:rFonts w:ascii="Arial" w:eastAsia="Times New Roman" w:hAnsi="Arial" w:cs="Arial"/>
          <w:bCs/>
          <w:i/>
          <w:iCs/>
          <w:sz w:val="18"/>
          <w:szCs w:val="18"/>
        </w:rPr>
      </w:pPr>
      <w:r w:rsidRPr="0062431F">
        <w:rPr>
          <w:rFonts w:ascii="Arial" w:eastAsia="Times New Roman" w:hAnsi="Arial" w:cs="Arial"/>
          <w:bCs/>
          <w:i/>
          <w:iCs/>
          <w:sz w:val="18"/>
          <w:szCs w:val="18"/>
        </w:rPr>
        <w:t xml:space="preserve">The Individual Pharmacist: Must also read and sign an individual authorisation sheet (sometimes called an agreement) to accept the professional responsibilities of the specific PGD before they can supply any medicines under it. Because organisational structures and commissioning bodies vary (e.g., NHS England, local Integrated Care Boards, or Health Boards), the specific named signatory will depend on how your pharmacy operates. You can find out more about the responsibilities of different signatories on the </w:t>
      </w:r>
      <w:hyperlink r:id="rId29" w:history="1">
        <w:r w:rsidRPr="0062431F">
          <w:rPr>
            <w:rStyle w:val="Hyperlink"/>
            <w:rFonts w:ascii="Arial" w:eastAsia="Times New Roman" w:hAnsi="Arial" w:cs="Arial"/>
            <w:bCs/>
            <w:i/>
            <w:iCs/>
            <w:sz w:val="18"/>
            <w:szCs w:val="18"/>
          </w:rPr>
          <w:t>NHS Specialist Pharmacy Service</w:t>
        </w:r>
      </w:hyperlink>
      <w:r w:rsidRPr="0062431F">
        <w:rPr>
          <w:rFonts w:ascii="Arial" w:eastAsia="Times New Roman" w:hAnsi="Arial" w:cs="Arial"/>
          <w:bCs/>
          <w:i/>
          <w:iCs/>
          <w:sz w:val="18"/>
          <w:szCs w:val="18"/>
        </w:rPr>
        <w:t xml:space="preserve"> guide.</w:t>
      </w:r>
    </w:p>
    <w:bookmarkEnd w:id="6"/>
    <w:p w14:paraId="6C7E0088" w14:textId="14B3AD94" w:rsidR="00243E21" w:rsidRPr="001F1360" w:rsidRDefault="00243E21" w:rsidP="004D51BB">
      <w:pPr>
        <w:pStyle w:val="BodyText"/>
        <w:spacing w:after="0"/>
        <w:rPr>
          <w:rFonts w:cs="Arial"/>
          <w:b/>
        </w:rPr>
      </w:pPr>
    </w:p>
    <w:sectPr w:rsidR="00243E21" w:rsidRPr="001F1360">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84FC" w14:textId="77777777" w:rsidR="002A7748" w:rsidRDefault="002A7748" w:rsidP="006E2BE9">
      <w:pPr>
        <w:spacing w:after="0" w:line="240" w:lineRule="auto"/>
      </w:pPr>
      <w:r>
        <w:separator/>
      </w:r>
    </w:p>
  </w:endnote>
  <w:endnote w:type="continuationSeparator" w:id="0">
    <w:p w14:paraId="74DAB709" w14:textId="77777777" w:rsidR="002A7748" w:rsidRDefault="002A7748" w:rsidP="006E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3D9E" w14:textId="489A026A" w:rsidR="001E22E5" w:rsidRPr="00744C6B" w:rsidRDefault="00985EC5" w:rsidP="00744C6B">
    <w:pPr>
      <w:pStyle w:val="Footer"/>
      <w:rPr>
        <w:rFonts w:ascii="Arial" w:hAnsi="Arial" w:cs="Arial"/>
      </w:rPr>
    </w:pPr>
    <w:r>
      <w:rPr>
        <w:rFonts w:ascii="Arial" w:hAnsi="Arial" w:cs="Arial"/>
        <w:color w:val="000000" w:themeColor="text1"/>
        <w:sz w:val="24"/>
        <w:szCs w:val="28"/>
      </w:rPr>
      <w:t>Neomycin/dexamethasone/acetic acid ear spray</w:t>
    </w:r>
    <w:r w:rsidR="00FF489C" w:rsidRPr="00FF489C">
      <w:rPr>
        <w:rFonts w:ascii="Arial" w:hAnsi="Arial" w:cs="Arial"/>
        <w:noProof/>
        <w:color w:val="000000" w:themeColor="text1"/>
        <w:vertAlign w:val="superscript"/>
        <w:lang w:eastAsia="en-GB"/>
      </w:rPr>
      <w:t xml:space="preserve"> </w:t>
    </w:r>
    <w:r w:rsidR="00FF489C">
      <w:rPr>
        <w:rFonts w:ascii="Arial" w:hAnsi="Arial" w:cs="Arial"/>
        <w:noProof/>
        <w:color w:val="000000" w:themeColor="text1"/>
        <w:lang w:eastAsia="en-GB"/>
      </w:rPr>
      <w:t>fo Otitis Externa PGD</w:t>
    </w:r>
    <w:r w:rsidR="00DF2ACA">
      <w:rPr>
        <w:rFonts w:ascii="Arial" w:hAnsi="Arial" w:cs="Arial"/>
        <w:noProof/>
        <w:color w:val="000000" w:themeColor="text1"/>
        <w:lang w:eastAsia="en-GB"/>
      </w:rPr>
      <w:t xml:space="preserve"> </w:t>
    </w:r>
    <w:r w:rsidR="00D8652F" w:rsidRPr="00A346B5">
      <w:rPr>
        <w:rFonts w:ascii="Arial" w:hAnsi="Arial" w:cs="Arial"/>
        <w:noProof/>
        <w:color w:val="000000" w:themeColor="text1"/>
        <w:lang w:eastAsia="en-GB"/>
      </w:rPr>
      <w:t xml:space="preserve"> </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 xml:space="preserve">Valid from: </w:t>
    </w:r>
    <w:r w:rsidR="00BE3119" w:rsidRPr="00A346B5">
      <w:rPr>
        <w:rFonts w:ascii="Arial" w:hAnsi="Arial" w:cs="Arial"/>
        <w:noProof/>
        <w:color w:val="000000" w:themeColor="text1"/>
        <w:lang w:eastAsia="en-GB"/>
      </w:rPr>
      <w:t>1</w:t>
    </w:r>
    <w:r w:rsidR="00BE3119" w:rsidRPr="00A346B5">
      <w:rPr>
        <w:rFonts w:ascii="Arial" w:hAnsi="Arial" w:cs="Arial"/>
        <w:noProof/>
        <w:color w:val="000000" w:themeColor="text1"/>
        <w:vertAlign w:val="superscript"/>
        <w:lang w:eastAsia="en-GB"/>
      </w:rPr>
      <w:t>st</w:t>
    </w:r>
    <w:r w:rsidR="00BE3119" w:rsidRPr="00A346B5">
      <w:rPr>
        <w:rFonts w:ascii="Arial" w:hAnsi="Arial" w:cs="Arial"/>
        <w:noProof/>
        <w:color w:val="000000" w:themeColor="text1"/>
        <w:lang w:eastAsia="en-GB"/>
      </w:rPr>
      <w:t xml:space="preserve"> July 2026</w:t>
    </w:r>
    <w:r w:rsidR="001E22E5" w:rsidRPr="00A346B5">
      <w:rPr>
        <w:rFonts w:ascii="Arial" w:hAnsi="Arial" w:cs="Arial"/>
        <w:noProof/>
        <w:color w:val="000000" w:themeColor="text1"/>
        <w:lang w:eastAsia="en-GB"/>
      </w:rPr>
      <w:t xml:space="preserve">   </w:t>
    </w:r>
    <w:r w:rsidR="001E22E5" w:rsidRPr="00744C6B">
      <w:rPr>
        <w:rFonts w:ascii="Arial" w:hAnsi="Arial" w:cs="Arial"/>
        <w:noProof/>
        <w:lang w:eastAsia="en-GB"/>
      </w:rPr>
      <w:t>Exp</w:t>
    </w:r>
    <w:r w:rsidR="00656E8B">
      <w:rPr>
        <w:rFonts w:ascii="Arial" w:hAnsi="Arial" w:cs="Arial"/>
        <w:noProof/>
        <w:lang w:eastAsia="en-GB"/>
      </w:rPr>
      <w:t>ir</w:t>
    </w:r>
    <w:r w:rsidR="001E22E5" w:rsidRPr="00744C6B">
      <w:rPr>
        <w:rFonts w:ascii="Arial" w:hAnsi="Arial" w:cs="Arial"/>
        <w:noProof/>
        <w:lang w:eastAsia="en-GB"/>
      </w:rPr>
      <w:t xml:space="preserve">y: </w:t>
    </w:r>
    <w:r w:rsidR="00BE3119" w:rsidRPr="00A346B5">
      <w:rPr>
        <w:rFonts w:ascii="Arial" w:hAnsi="Arial" w:cs="Arial"/>
        <w:noProof/>
        <w:color w:val="000000" w:themeColor="text1"/>
        <w:lang w:eastAsia="en-GB"/>
      </w:rPr>
      <w:t>30</w:t>
    </w:r>
    <w:r w:rsidR="00BE3119" w:rsidRPr="00A346B5">
      <w:rPr>
        <w:rFonts w:ascii="Arial" w:hAnsi="Arial" w:cs="Arial"/>
        <w:noProof/>
        <w:color w:val="000000" w:themeColor="text1"/>
        <w:vertAlign w:val="superscript"/>
        <w:lang w:eastAsia="en-GB"/>
      </w:rPr>
      <w:t>th</w:t>
    </w:r>
    <w:r w:rsidR="00BE3119" w:rsidRPr="00A346B5">
      <w:rPr>
        <w:rFonts w:ascii="Arial" w:hAnsi="Arial" w:cs="Arial"/>
        <w:noProof/>
        <w:color w:val="000000" w:themeColor="text1"/>
        <w:lang w:eastAsia="en-GB"/>
      </w:rPr>
      <w:t xml:space="preserve"> June 2029</w:t>
    </w:r>
    <w:r w:rsidR="001E22E5" w:rsidRPr="00A346B5">
      <w:rPr>
        <w:rFonts w:ascii="Arial" w:hAnsi="Arial" w:cs="Arial"/>
        <w:noProof/>
        <w:color w:val="000000" w:themeColor="text1"/>
        <w:lang w:eastAsia="en-GB"/>
      </w:rPr>
      <w:t xml:space="preserve">  </w:t>
    </w:r>
    <w:sdt>
      <w:sdtPr>
        <w:rPr>
          <w:rFonts w:ascii="Arial" w:hAnsi="Arial" w:cs="Arial"/>
        </w:rPr>
        <w:id w:val="-2598381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1E22E5">
              <w:rPr>
                <w:rFonts w:ascii="Arial" w:hAnsi="Arial" w:cs="Arial"/>
              </w:rPr>
              <w:t xml:space="preserve">           </w:t>
            </w:r>
            <w:r w:rsidR="001E22E5" w:rsidRPr="00744C6B">
              <w:rPr>
                <w:rFonts w:ascii="Arial" w:hAnsi="Arial" w:cs="Arial"/>
              </w:rPr>
              <w:t xml:space="preserve">Page </w:t>
            </w:r>
            <w:r w:rsidR="001E22E5" w:rsidRPr="00744C6B">
              <w:rPr>
                <w:rFonts w:ascii="Arial" w:hAnsi="Arial" w:cs="Arial"/>
                <w:b/>
                <w:bCs/>
              </w:rPr>
              <w:fldChar w:fldCharType="begin"/>
            </w:r>
            <w:r w:rsidR="001E22E5" w:rsidRPr="00744C6B">
              <w:rPr>
                <w:rFonts w:ascii="Arial" w:hAnsi="Arial" w:cs="Arial"/>
                <w:b/>
                <w:bCs/>
              </w:rPr>
              <w:instrText xml:space="preserve"> PAGE </w:instrText>
            </w:r>
            <w:r w:rsidR="001E22E5" w:rsidRPr="00744C6B">
              <w:rPr>
                <w:rFonts w:ascii="Arial" w:hAnsi="Arial" w:cs="Arial"/>
                <w:b/>
                <w:bCs/>
              </w:rPr>
              <w:fldChar w:fldCharType="separate"/>
            </w:r>
            <w:r w:rsidR="001E22E5">
              <w:rPr>
                <w:rFonts w:ascii="Arial" w:hAnsi="Arial" w:cs="Arial"/>
                <w:b/>
                <w:bCs/>
              </w:rPr>
              <w:t>1</w:t>
            </w:r>
            <w:r w:rsidR="001E22E5" w:rsidRPr="00744C6B">
              <w:rPr>
                <w:rFonts w:ascii="Arial" w:hAnsi="Arial" w:cs="Arial"/>
                <w:b/>
                <w:bCs/>
              </w:rPr>
              <w:fldChar w:fldCharType="end"/>
            </w:r>
            <w:r w:rsidR="001E22E5" w:rsidRPr="00744C6B">
              <w:rPr>
                <w:rFonts w:ascii="Arial" w:hAnsi="Arial" w:cs="Arial"/>
              </w:rPr>
              <w:t xml:space="preserve"> of </w:t>
            </w:r>
            <w:r w:rsidR="001E22E5" w:rsidRPr="00744C6B">
              <w:rPr>
                <w:rFonts w:ascii="Arial" w:hAnsi="Arial" w:cs="Arial"/>
                <w:b/>
                <w:bCs/>
              </w:rPr>
              <w:fldChar w:fldCharType="begin"/>
            </w:r>
            <w:r w:rsidR="001E22E5" w:rsidRPr="00744C6B">
              <w:rPr>
                <w:rFonts w:ascii="Arial" w:hAnsi="Arial" w:cs="Arial"/>
                <w:b/>
                <w:bCs/>
              </w:rPr>
              <w:instrText xml:space="preserve"> NUMPAGES  </w:instrText>
            </w:r>
            <w:r w:rsidR="001E22E5" w:rsidRPr="00744C6B">
              <w:rPr>
                <w:rFonts w:ascii="Arial" w:hAnsi="Arial" w:cs="Arial"/>
                <w:b/>
                <w:bCs/>
              </w:rPr>
              <w:fldChar w:fldCharType="separate"/>
            </w:r>
            <w:r w:rsidR="001E22E5">
              <w:rPr>
                <w:rFonts w:ascii="Arial" w:hAnsi="Arial" w:cs="Arial"/>
                <w:b/>
                <w:bCs/>
              </w:rPr>
              <w:t>14</w:t>
            </w:r>
            <w:r w:rsidR="001E22E5" w:rsidRPr="00744C6B">
              <w:rPr>
                <w:rFonts w:ascii="Arial" w:hAnsi="Arial" w:cs="Arial"/>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76A0" w14:textId="77777777" w:rsidR="002A7748" w:rsidRDefault="002A7748" w:rsidP="006E2BE9">
      <w:pPr>
        <w:spacing w:after="0" w:line="240" w:lineRule="auto"/>
      </w:pPr>
      <w:r>
        <w:separator/>
      </w:r>
    </w:p>
  </w:footnote>
  <w:footnote w:type="continuationSeparator" w:id="0">
    <w:p w14:paraId="3D2EBEF8" w14:textId="77777777" w:rsidR="002A7748" w:rsidRDefault="002A7748" w:rsidP="006E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A312" w14:textId="0518B049" w:rsidR="001E22E5" w:rsidRDefault="000F2802" w:rsidP="0013791A">
    <w:pPr>
      <w:pStyle w:val="Header"/>
      <w:tabs>
        <w:tab w:val="clear" w:pos="4513"/>
        <w:tab w:val="clear" w:pos="9026"/>
        <w:tab w:val="left" w:pos="7470"/>
      </w:tabs>
    </w:pPr>
    <w:r>
      <w:rPr>
        <w:noProof/>
      </w:rPr>
      <w:drawing>
        <wp:anchor distT="0" distB="0" distL="114300" distR="114300" simplePos="0" relativeHeight="251657216" behindDoc="1" locked="0" layoutInCell="1" allowOverlap="1" wp14:anchorId="1B7582BB" wp14:editId="6726ED3B">
          <wp:simplePos x="0" y="0"/>
          <wp:positionH relativeFrom="column">
            <wp:posOffset>-209550</wp:posOffset>
          </wp:positionH>
          <wp:positionV relativeFrom="paragraph">
            <wp:posOffset>-405130</wp:posOffset>
          </wp:positionV>
          <wp:extent cx="5532986" cy="102290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532986" cy="1022905"/>
                  </a:xfrm>
                  <a:prstGeom prst="rect">
                    <a:avLst/>
                  </a:prstGeom>
                </pic:spPr>
              </pic:pic>
            </a:graphicData>
          </a:graphic>
          <wp14:sizeRelH relativeFrom="page">
            <wp14:pctWidth>0</wp14:pctWidth>
          </wp14:sizeRelH>
          <wp14:sizeRelV relativeFrom="page">
            <wp14:pctHeight>0</wp14:pctHeight>
          </wp14:sizeRelV>
        </wp:anchor>
      </w:drawing>
    </w:r>
    <w:sdt>
      <w:sdtPr>
        <w:id w:val="-893276692"/>
        <w:docPartObj>
          <w:docPartGallery w:val="Watermarks"/>
          <w:docPartUnique/>
        </w:docPartObj>
      </w:sdtPr>
      <w:sdtEndPr/>
      <w:sdtContent>
        <w:r w:rsidR="002A7748">
          <w:rPr>
            <w:noProof/>
          </w:rPr>
          <w:pict w14:anchorId="6AC3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939"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sdtContent>
    </w:sdt>
    <w:r w:rsidR="001379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FAB"/>
    <w:multiLevelType w:val="hybridMultilevel"/>
    <w:tmpl w:val="C5E0A45A"/>
    <w:lvl w:ilvl="0" w:tplc="19E6099A">
      <w:start w:val="1"/>
      <w:numFmt w:val="decimal"/>
      <w:lvlText w:val="%1."/>
      <w:lvlJc w:val="left"/>
      <w:pPr>
        <w:ind w:left="360" w:hanging="360"/>
      </w:pPr>
      <w:rPr>
        <w:rFonts w:hint="default"/>
        <w:b/>
        <w:color w:val="auto"/>
        <w:sz w:val="24"/>
        <w:szCs w:val="24"/>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1580139E"/>
    <w:multiLevelType w:val="hybridMultilevel"/>
    <w:tmpl w:val="A49A2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610B6"/>
    <w:multiLevelType w:val="hybridMultilevel"/>
    <w:tmpl w:val="44C0C75C"/>
    <w:lvl w:ilvl="0" w:tplc="9946B77C">
      <w:start w:val="1"/>
      <w:numFmt w:val="bullet"/>
      <w:lvlText w:val=""/>
      <w:lvlJc w:val="left"/>
      <w:pPr>
        <w:tabs>
          <w:tab w:val="num" w:pos="340"/>
        </w:tabs>
        <w:ind w:left="340" w:hanging="340"/>
      </w:pPr>
      <w:rPr>
        <w:rFonts w:ascii="Symbol" w:hAnsi="Symbol" w:hint="default"/>
        <w:color w:val="000000"/>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F78F3"/>
    <w:multiLevelType w:val="hybridMultilevel"/>
    <w:tmpl w:val="BA247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E649A"/>
    <w:multiLevelType w:val="hybridMultilevel"/>
    <w:tmpl w:val="B9A22992"/>
    <w:lvl w:ilvl="0" w:tplc="497EE290">
      <w:start w:val="1"/>
      <w:numFmt w:val="bullet"/>
      <w:lvlText w:val=""/>
      <w:lvlJc w:val="left"/>
      <w:pPr>
        <w:tabs>
          <w:tab w:val="num" w:pos="340"/>
        </w:tabs>
        <w:ind w:left="340" w:hanging="34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F568A"/>
    <w:multiLevelType w:val="hybridMultilevel"/>
    <w:tmpl w:val="68F866F8"/>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6" w15:restartNumberingAfterBreak="0">
    <w:nsid w:val="23702902"/>
    <w:multiLevelType w:val="hybridMultilevel"/>
    <w:tmpl w:val="1BAAB52E"/>
    <w:lvl w:ilvl="0" w:tplc="40FC8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D20EA5"/>
    <w:multiLevelType w:val="hybridMultilevel"/>
    <w:tmpl w:val="065E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E2A08"/>
    <w:multiLevelType w:val="hybridMultilevel"/>
    <w:tmpl w:val="1E6C7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35957"/>
    <w:multiLevelType w:val="hybridMultilevel"/>
    <w:tmpl w:val="3DB0D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D066EF"/>
    <w:multiLevelType w:val="multilevel"/>
    <w:tmpl w:val="5D6C7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B6E7E12"/>
    <w:multiLevelType w:val="hybridMultilevel"/>
    <w:tmpl w:val="99863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413F10"/>
    <w:multiLevelType w:val="hybridMultilevel"/>
    <w:tmpl w:val="7C7AC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25770"/>
    <w:multiLevelType w:val="hybridMultilevel"/>
    <w:tmpl w:val="590A4F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716A8"/>
    <w:multiLevelType w:val="hybridMultilevel"/>
    <w:tmpl w:val="AF8C1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B573FC"/>
    <w:multiLevelType w:val="hybridMultilevel"/>
    <w:tmpl w:val="93F83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DB76AC"/>
    <w:multiLevelType w:val="hybridMultilevel"/>
    <w:tmpl w:val="E286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DD5C14"/>
    <w:multiLevelType w:val="hybridMultilevel"/>
    <w:tmpl w:val="5218F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90538"/>
    <w:multiLevelType w:val="hybridMultilevel"/>
    <w:tmpl w:val="D6925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4789983">
    <w:abstractNumId w:val="4"/>
  </w:num>
  <w:num w:numId="2" w16cid:durableId="704138691">
    <w:abstractNumId w:val="7"/>
  </w:num>
  <w:num w:numId="3" w16cid:durableId="23679353">
    <w:abstractNumId w:val="2"/>
  </w:num>
  <w:num w:numId="4" w16cid:durableId="1121801697">
    <w:abstractNumId w:val="0"/>
  </w:num>
  <w:num w:numId="5" w16cid:durableId="999653022">
    <w:abstractNumId w:val="6"/>
  </w:num>
  <w:num w:numId="6" w16cid:durableId="1097602770">
    <w:abstractNumId w:val="5"/>
  </w:num>
  <w:num w:numId="7" w16cid:durableId="1939944971">
    <w:abstractNumId w:val="17"/>
  </w:num>
  <w:num w:numId="8" w16cid:durableId="1484539827">
    <w:abstractNumId w:val="8"/>
  </w:num>
  <w:num w:numId="9" w16cid:durableId="1338969017">
    <w:abstractNumId w:val="12"/>
  </w:num>
  <w:num w:numId="10" w16cid:durableId="1425105457">
    <w:abstractNumId w:val="11"/>
  </w:num>
  <w:num w:numId="11" w16cid:durableId="484275165">
    <w:abstractNumId w:val="9"/>
  </w:num>
  <w:num w:numId="12" w16cid:durableId="2082410995">
    <w:abstractNumId w:val="13"/>
  </w:num>
  <w:num w:numId="13" w16cid:durableId="555627743">
    <w:abstractNumId w:val="18"/>
  </w:num>
  <w:num w:numId="14" w16cid:durableId="24723188">
    <w:abstractNumId w:val="14"/>
  </w:num>
  <w:num w:numId="15" w16cid:durableId="348921057">
    <w:abstractNumId w:val="3"/>
  </w:num>
  <w:num w:numId="16" w16cid:durableId="306513328">
    <w:abstractNumId w:val="16"/>
  </w:num>
  <w:num w:numId="17" w16cid:durableId="387194465">
    <w:abstractNumId w:val="1"/>
  </w:num>
  <w:num w:numId="18" w16cid:durableId="2048676718">
    <w:abstractNumId w:val="15"/>
  </w:num>
  <w:num w:numId="19" w16cid:durableId="106595635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21"/>
    <w:rsid w:val="00000DE1"/>
    <w:rsid w:val="00010AC7"/>
    <w:rsid w:val="00012BED"/>
    <w:rsid w:val="00012FE4"/>
    <w:rsid w:val="00014562"/>
    <w:rsid w:val="0001468E"/>
    <w:rsid w:val="00021581"/>
    <w:rsid w:val="0003111B"/>
    <w:rsid w:val="00042348"/>
    <w:rsid w:val="00042F55"/>
    <w:rsid w:val="00044743"/>
    <w:rsid w:val="00050CFE"/>
    <w:rsid w:val="000647C4"/>
    <w:rsid w:val="00064F59"/>
    <w:rsid w:val="00082510"/>
    <w:rsid w:val="00085C85"/>
    <w:rsid w:val="000A431D"/>
    <w:rsid w:val="000B7C18"/>
    <w:rsid w:val="000C057B"/>
    <w:rsid w:val="000E5A44"/>
    <w:rsid w:val="000F2802"/>
    <w:rsid w:val="000F5B69"/>
    <w:rsid w:val="001072E4"/>
    <w:rsid w:val="00112FD8"/>
    <w:rsid w:val="00120945"/>
    <w:rsid w:val="0013791A"/>
    <w:rsid w:val="001446C8"/>
    <w:rsid w:val="001460BE"/>
    <w:rsid w:val="00152338"/>
    <w:rsid w:val="00167955"/>
    <w:rsid w:val="0017271C"/>
    <w:rsid w:val="001865AA"/>
    <w:rsid w:val="00191A1B"/>
    <w:rsid w:val="00194286"/>
    <w:rsid w:val="00195E84"/>
    <w:rsid w:val="001A0B89"/>
    <w:rsid w:val="001A2F11"/>
    <w:rsid w:val="001A38F3"/>
    <w:rsid w:val="001B32E1"/>
    <w:rsid w:val="001B40D5"/>
    <w:rsid w:val="001B640D"/>
    <w:rsid w:val="001D1893"/>
    <w:rsid w:val="001D2635"/>
    <w:rsid w:val="001D45F8"/>
    <w:rsid w:val="001E22E5"/>
    <w:rsid w:val="001E7BC0"/>
    <w:rsid w:val="001E7BC5"/>
    <w:rsid w:val="001F009B"/>
    <w:rsid w:val="001F1360"/>
    <w:rsid w:val="002022FC"/>
    <w:rsid w:val="00202C9F"/>
    <w:rsid w:val="00230A2F"/>
    <w:rsid w:val="00237FB4"/>
    <w:rsid w:val="00243E21"/>
    <w:rsid w:val="00261034"/>
    <w:rsid w:val="00271555"/>
    <w:rsid w:val="00274B20"/>
    <w:rsid w:val="002817E7"/>
    <w:rsid w:val="00291623"/>
    <w:rsid w:val="00291CBB"/>
    <w:rsid w:val="00294A16"/>
    <w:rsid w:val="002A7748"/>
    <w:rsid w:val="002B2ADE"/>
    <w:rsid w:val="002B2D7F"/>
    <w:rsid w:val="002B59C2"/>
    <w:rsid w:val="002C17CD"/>
    <w:rsid w:val="002C6F07"/>
    <w:rsid w:val="002C728B"/>
    <w:rsid w:val="002E3E1B"/>
    <w:rsid w:val="002F4CB1"/>
    <w:rsid w:val="002F5075"/>
    <w:rsid w:val="002F754F"/>
    <w:rsid w:val="00314394"/>
    <w:rsid w:val="00337561"/>
    <w:rsid w:val="00343742"/>
    <w:rsid w:val="00353C76"/>
    <w:rsid w:val="00355BF5"/>
    <w:rsid w:val="00356289"/>
    <w:rsid w:val="003579D6"/>
    <w:rsid w:val="00367C19"/>
    <w:rsid w:val="00380AB7"/>
    <w:rsid w:val="0038140C"/>
    <w:rsid w:val="003959B6"/>
    <w:rsid w:val="003A324A"/>
    <w:rsid w:val="004178DB"/>
    <w:rsid w:val="00427A32"/>
    <w:rsid w:val="00433C79"/>
    <w:rsid w:val="004360DD"/>
    <w:rsid w:val="00437A79"/>
    <w:rsid w:val="004429A4"/>
    <w:rsid w:val="00446EFD"/>
    <w:rsid w:val="0045789A"/>
    <w:rsid w:val="00460DA8"/>
    <w:rsid w:val="00464A3C"/>
    <w:rsid w:val="00465DC3"/>
    <w:rsid w:val="00473284"/>
    <w:rsid w:val="00482989"/>
    <w:rsid w:val="00482E30"/>
    <w:rsid w:val="00485849"/>
    <w:rsid w:val="004865B8"/>
    <w:rsid w:val="004923A7"/>
    <w:rsid w:val="004A6F9C"/>
    <w:rsid w:val="004A7902"/>
    <w:rsid w:val="004B45D0"/>
    <w:rsid w:val="004B49D6"/>
    <w:rsid w:val="004C266A"/>
    <w:rsid w:val="004D51BB"/>
    <w:rsid w:val="004E7757"/>
    <w:rsid w:val="004F43C2"/>
    <w:rsid w:val="004F7DFF"/>
    <w:rsid w:val="005112B0"/>
    <w:rsid w:val="00511D39"/>
    <w:rsid w:val="00515D3D"/>
    <w:rsid w:val="00526471"/>
    <w:rsid w:val="00540D10"/>
    <w:rsid w:val="00550A5C"/>
    <w:rsid w:val="005533B3"/>
    <w:rsid w:val="00553E70"/>
    <w:rsid w:val="00563417"/>
    <w:rsid w:val="00573265"/>
    <w:rsid w:val="00590B8B"/>
    <w:rsid w:val="0059695E"/>
    <w:rsid w:val="00597DF4"/>
    <w:rsid w:val="005A3A11"/>
    <w:rsid w:val="005A3DE5"/>
    <w:rsid w:val="005A4855"/>
    <w:rsid w:val="005C2DE8"/>
    <w:rsid w:val="005C395E"/>
    <w:rsid w:val="005D67BD"/>
    <w:rsid w:val="005D6B89"/>
    <w:rsid w:val="005E4265"/>
    <w:rsid w:val="005E5F04"/>
    <w:rsid w:val="006105C8"/>
    <w:rsid w:val="0064663E"/>
    <w:rsid w:val="00656E8B"/>
    <w:rsid w:val="00661100"/>
    <w:rsid w:val="00661FD5"/>
    <w:rsid w:val="00667B92"/>
    <w:rsid w:val="006717F3"/>
    <w:rsid w:val="0067357A"/>
    <w:rsid w:val="00680526"/>
    <w:rsid w:val="00681A98"/>
    <w:rsid w:val="00687BCD"/>
    <w:rsid w:val="00695D36"/>
    <w:rsid w:val="006A3158"/>
    <w:rsid w:val="006B7A2F"/>
    <w:rsid w:val="006C4C60"/>
    <w:rsid w:val="006D49A6"/>
    <w:rsid w:val="006E2BE9"/>
    <w:rsid w:val="00711CDF"/>
    <w:rsid w:val="00743CD1"/>
    <w:rsid w:val="00744C6B"/>
    <w:rsid w:val="0075667C"/>
    <w:rsid w:val="007626BF"/>
    <w:rsid w:val="0077603E"/>
    <w:rsid w:val="00787635"/>
    <w:rsid w:val="00791442"/>
    <w:rsid w:val="007915CC"/>
    <w:rsid w:val="007A37A0"/>
    <w:rsid w:val="007B0B6C"/>
    <w:rsid w:val="007C6079"/>
    <w:rsid w:val="007D55D7"/>
    <w:rsid w:val="007E7002"/>
    <w:rsid w:val="007F329D"/>
    <w:rsid w:val="0080275D"/>
    <w:rsid w:val="00806CC7"/>
    <w:rsid w:val="008535B8"/>
    <w:rsid w:val="0087398C"/>
    <w:rsid w:val="008829AE"/>
    <w:rsid w:val="008A361A"/>
    <w:rsid w:val="008A6461"/>
    <w:rsid w:val="008B6BB8"/>
    <w:rsid w:val="008D3A61"/>
    <w:rsid w:val="008D3BA3"/>
    <w:rsid w:val="008D5D5F"/>
    <w:rsid w:val="009014C6"/>
    <w:rsid w:val="009048D3"/>
    <w:rsid w:val="00930725"/>
    <w:rsid w:val="009331D5"/>
    <w:rsid w:val="0094235E"/>
    <w:rsid w:val="00985EC5"/>
    <w:rsid w:val="009A2F95"/>
    <w:rsid w:val="009A3EC2"/>
    <w:rsid w:val="009B5A71"/>
    <w:rsid w:val="009D44E5"/>
    <w:rsid w:val="00A1321A"/>
    <w:rsid w:val="00A152BF"/>
    <w:rsid w:val="00A15F79"/>
    <w:rsid w:val="00A31A9D"/>
    <w:rsid w:val="00A346B5"/>
    <w:rsid w:val="00A37F25"/>
    <w:rsid w:val="00A4478E"/>
    <w:rsid w:val="00A46BFE"/>
    <w:rsid w:val="00A50953"/>
    <w:rsid w:val="00A56650"/>
    <w:rsid w:val="00A62253"/>
    <w:rsid w:val="00A93D7B"/>
    <w:rsid w:val="00AC1311"/>
    <w:rsid w:val="00AC197F"/>
    <w:rsid w:val="00AC617C"/>
    <w:rsid w:val="00AD597E"/>
    <w:rsid w:val="00AD793F"/>
    <w:rsid w:val="00AF0A8E"/>
    <w:rsid w:val="00AF3551"/>
    <w:rsid w:val="00AF44DE"/>
    <w:rsid w:val="00B30FD8"/>
    <w:rsid w:val="00B37B1F"/>
    <w:rsid w:val="00B63FDB"/>
    <w:rsid w:val="00B73482"/>
    <w:rsid w:val="00B746EA"/>
    <w:rsid w:val="00B93364"/>
    <w:rsid w:val="00B939AA"/>
    <w:rsid w:val="00B93B91"/>
    <w:rsid w:val="00BA0549"/>
    <w:rsid w:val="00BA0B99"/>
    <w:rsid w:val="00BA2A98"/>
    <w:rsid w:val="00BA779D"/>
    <w:rsid w:val="00BA7E93"/>
    <w:rsid w:val="00BB21AC"/>
    <w:rsid w:val="00BB3598"/>
    <w:rsid w:val="00BC17DC"/>
    <w:rsid w:val="00BD2B8C"/>
    <w:rsid w:val="00BE3119"/>
    <w:rsid w:val="00BE43D4"/>
    <w:rsid w:val="00BE7E24"/>
    <w:rsid w:val="00C11D4D"/>
    <w:rsid w:val="00C15B48"/>
    <w:rsid w:val="00C16F20"/>
    <w:rsid w:val="00C31BB3"/>
    <w:rsid w:val="00C505C4"/>
    <w:rsid w:val="00C5799F"/>
    <w:rsid w:val="00C613E0"/>
    <w:rsid w:val="00C70602"/>
    <w:rsid w:val="00C91A69"/>
    <w:rsid w:val="00C96A2A"/>
    <w:rsid w:val="00CA3F26"/>
    <w:rsid w:val="00CB5218"/>
    <w:rsid w:val="00CC1AC7"/>
    <w:rsid w:val="00CC223F"/>
    <w:rsid w:val="00CE00B9"/>
    <w:rsid w:val="00CF4145"/>
    <w:rsid w:val="00D03572"/>
    <w:rsid w:val="00D173AC"/>
    <w:rsid w:val="00D460F2"/>
    <w:rsid w:val="00D56368"/>
    <w:rsid w:val="00D63DC7"/>
    <w:rsid w:val="00D67817"/>
    <w:rsid w:val="00D82B1B"/>
    <w:rsid w:val="00D8652F"/>
    <w:rsid w:val="00D90F39"/>
    <w:rsid w:val="00D9254E"/>
    <w:rsid w:val="00DC63B5"/>
    <w:rsid w:val="00DD78D3"/>
    <w:rsid w:val="00DE5CBB"/>
    <w:rsid w:val="00DE767C"/>
    <w:rsid w:val="00DF033B"/>
    <w:rsid w:val="00DF2ACA"/>
    <w:rsid w:val="00DF3350"/>
    <w:rsid w:val="00DF7D36"/>
    <w:rsid w:val="00E016E7"/>
    <w:rsid w:val="00E01C71"/>
    <w:rsid w:val="00E075F7"/>
    <w:rsid w:val="00E162B7"/>
    <w:rsid w:val="00E23781"/>
    <w:rsid w:val="00E30855"/>
    <w:rsid w:val="00E3176F"/>
    <w:rsid w:val="00E31837"/>
    <w:rsid w:val="00E41B63"/>
    <w:rsid w:val="00E47D87"/>
    <w:rsid w:val="00E50EE7"/>
    <w:rsid w:val="00E7230B"/>
    <w:rsid w:val="00E77667"/>
    <w:rsid w:val="00E91DD5"/>
    <w:rsid w:val="00EB0724"/>
    <w:rsid w:val="00EC27C8"/>
    <w:rsid w:val="00EE715C"/>
    <w:rsid w:val="00F241FC"/>
    <w:rsid w:val="00F26C29"/>
    <w:rsid w:val="00F3347F"/>
    <w:rsid w:val="00F353E8"/>
    <w:rsid w:val="00F36CB6"/>
    <w:rsid w:val="00F42466"/>
    <w:rsid w:val="00F43C9D"/>
    <w:rsid w:val="00F66E8B"/>
    <w:rsid w:val="00F80934"/>
    <w:rsid w:val="00F84C7E"/>
    <w:rsid w:val="00FD11AF"/>
    <w:rsid w:val="00FD38DC"/>
    <w:rsid w:val="00FD6EE3"/>
    <w:rsid w:val="00FE4ED3"/>
    <w:rsid w:val="00FF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9ED6"/>
  <w15:docId w15:val="{7A141683-4C24-4A7F-AD25-224D626E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E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94286"/>
    <w:pPr>
      <w:keepNext/>
      <w:overflowPunct w:val="0"/>
      <w:autoSpaceDE w:val="0"/>
      <w:autoSpaceDN w:val="0"/>
      <w:adjustRightInd w:val="0"/>
      <w:spacing w:before="360" w:after="120" w:line="240" w:lineRule="auto"/>
      <w:textAlignment w:val="baseline"/>
      <w:outlineLvl w:val="4"/>
    </w:pPr>
    <w:rPr>
      <w:rFonts w:ascii="Times New Roman" w:eastAsia="Times New Roman" w:hAnsi="Times New Roman" w:cs="Times New Roman"/>
      <w:b/>
      <w:i/>
      <w:sz w:val="32"/>
      <w:szCs w:val="20"/>
      <w:lang w:eastAsia="en-GB"/>
    </w:rPr>
  </w:style>
  <w:style w:type="paragraph" w:styleId="Heading6">
    <w:name w:val="heading 6"/>
    <w:basedOn w:val="Normal"/>
    <w:next w:val="Normal"/>
    <w:link w:val="Heading6Char"/>
    <w:qFormat/>
    <w:rsid w:val="00194286"/>
    <w:pPr>
      <w:keepNext/>
      <w:overflowPunct w:val="0"/>
      <w:autoSpaceDE w:val="0"/>
      <w:autoSpaceDN w:val="0"/>
      <w:adjustRightInd w:val="0"/>
      <w:spacing w:before="120" w:after="120" w:line="240" w:lineRule="auto"/>
      <w:jc w:val="right"/>
      <w:textAlignment w:val="baseline"/>
      <w:outlineLvl w:val="5"/>
    </w:pPr>
    <w:rPr>
      <w:rFonts w:ascii="Times New Roman" w:eastAsia="Times New Roman" w:hAnsi="Times New Roman" w:cs="Times New Roman"/>
      <w:b/>
      <w:i/>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21"/>
    <w:rPr>
      <w:rFonts w:ascii="Tahoma" w:hAnsi="Tahoma" w:cs="Tahoma"/>
      <w:sz w:val="16"/>
      <w:szCs w:val="16"/>
    </w:rPr>
  </w:style>
  <w:style w:type="paragraph" w:styleId="ListParagraph">
    <w:name w:val="List Paragraph"/>
    <w:basedOn w:val="Normal"/>
    <w:uiPriority w:val="99"/>
    <w:qFormat/>
    <w:rsid w:val="00243E21"/>
    <w:pPr>
      <w:ind w:left="720"/>
      <w:contextualSpacing/>
    </w:pPr>
  </w:style>
  <w:style w:type="paragraph" w:styleId="Header">
    <w:name w:val="header"/>
    <w:basedOn w:val="Normal"/>
    <w:link w:val="HeaderChar"/>
    <w:unhideWhenUsed/>
    <w:rsid w:val="006E2BE9"/>
    <w:pPr>
      <w:tabs>
        <w:tab w:val="center" w:pos="4513"/>
        <w:tab w:val="right" w:pos="9026"/>
      </w:tabs>
      <w:spacing w:after="0" w:line="240" w:lineRule="auto"/>
    </w:pPr>
  </w:style>
  <w:style w:type="character" w:customStyle="1" w:styleId="HeaderChar">
    <w:name w:val="Header Char"/>
    <w:basedOn w:val="DefaultParagraphFont"/>
    <w:link w:val="Header"/>
    <w:rsid w:val="006E2BE9"/>
  </w:style>
  <w:style w:type="paragraph" w:styleId="Footer">
    <w:name w:val="footer"/>
    <w:basedOn w:val="Normal"/>
    <w:link w:val="FooterChar"/>
    <w:unhideWhenUsed/>
    <w:rsid w:val="006E2BE9"/>
    <w:pPr>
      <w:tabs>
        <w:tab w:val="center" w:pos="4513"/>
        <w:tab w:val="right" w:pos="9026"/>
      </w:tabs>
      <w:spacing w:after="0" w:line="240" w:lineRule="auto"/>
    </w:pPr>
  </w:style>
  <w:style w:type="character" w:customStyle="1" w:styleId="FooterChar">
    <w:name w:val="Footer Char"/>
    <w:basedOn w:val="DefaultParagraphFont"/>
    <w:link w:val="Footer"/>
    <w:rsid w:val="006E2BE9"/>
  </w:style>
  <w:style w:type="paragraph" w:customStyle="1" w:styleId="Default">
    <w:name w:val="Default"/>
    <w:rsid w:val="0003111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7D87"/>
    <w:rPr>
      <w:color w:val="0000FF" w:themeColor="hyperlink"/>
      <w:u w:val="single"/>
    </w:rPr>
  </w:style>
  <w:style w:type="character" w:styleId="FollowedHyperlink">
    <w:name w:val="FollowedHyperlink"/>
    <w:basedOn w:val="DefaultParagraphFont"/>
    <w:uiPriority w:val="99"/>
    <w:semiHidden/>
    <w:unhideWhenUsed/>
    <w:rsid w:val="007A37A0"/>
    <w:rPr>
      <w:color w:val="800080" w:themeColor="followedHyperlink"/>
      <w:u w:val="single"/>
    </w:rPr>
  </w:style>
  <w:style w:type="paragraph" w:styleId="CommentText">
    <w:name w:val="annotation text"/>
    <w:basedOn w:val="Normal"/>
    <w:link w:val="CommentTextChar"/>
    <w:uiPriority w:val="99"/>
    <w:rsid w:val="004360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0DD"/>
    <w:rPr>
      <w:rFonts w:ascii="Times New Roman" w:eastAsia="Times New Roman" w:hAnsi="Times New Roman" w:cs="Times New Roman"/>
      <w:sz w:val="20"/>
      <w:szCs w:val="20"/>
    </w:rPr>
  </w:style>
  <w:style w:type="table" w:styleId="TableGrid">
    <w:name w:val="Table Grid"/>
    <w:basedOn w:val="TableNormal"/>
    <w:uiPriority w:val="59"/>
    <w:rsid w:val="001A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94286"/>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194286"/>
    <w:rPr>
      <w:rFonts w:ascii="Times New Roman" w:eastAsia="Times New Roman" w:hAnsi="Times New Roman" w:cs="Times New Roman"/>
      <w:b/>
      <w:i/>
      <w:sz w:val="32"/>
      <w:szCs w:val="20"/>
      <w:lang w:eastAsia="en-GB"/>
    </w:rPr>
  </w:style>
  <w:style w:type="paragraph" w:styleId="Title">
    <w:name w:val="Title"/>
    <w:basedOn w:val="Normal"/>
    <w:link w:val="TitleChar"/>
    <w:qFormat/>
    <w:rsid w:val="0019428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286"/>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194286"/>
  </w:style>
  <w:style w:type="character" w:styleId="CommentReference">
    <w:name w:val="annotation reference"/>
    <w:basedOn w:val="DefaultParagraphFont"/>
    <w:uiPriority w:val="99"/>
    <w:semiHidden/>
    <w:unhideWhenUsed/>
    <w:rsid w:val="00194286"/>
    <w:rPr>
      <w:sz w:val="16"/>
      <w:szCs w:val="16"/>
    </w:rPr>
  </w:style>
  <w:style w:type="paragraph" w:customStyle="1" w:styleId="Tabletext">
    <w:name w:val="Table text"/>
    <w:basedOn w:val="Normal"/>
    <w:rsid w:val="00194286"/>
    <w:pPr>
      <w:keepNext/>
      <w:spacing w:after="60" w:line="240" w:lineRule="auto"/>
    </w:pPr>
    <w:rPr>
      <w:rFonts w:ascii="Arial" w:eastAsia="Times New Roman" w:hAnsi="Arial" w:cs="Times New Roman"/>
      <w:szCs w:val="24"/>
      <w:lang w:val="en-US"/>
    </w:rPr>
  </w:style>
  <w:style w:type="paragraph" w:customStyle="1" w:styleId="TableParagraph">
    <w:name w:val="Table Paragraph"/>
    <w:basedOn w:val="Normal"/>
    <w:uiPriority w:val="1"/>
    <w:qFormat/>
    <w:rsid w:val="00194286"/>
    <w:pPr>
      <w:widowControl w:val="0"/>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19428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42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60BE"/>
    <w:rPr>
      <w:color w:val="605E5C"/>
      <w:shd w:val="clear" w:color="auto" w:fill="E1DFDD"/>
    </w:rPr>
  </w:style>
  <w:style w:type="paragraph" w:styleId="BodyText2">
    <w:name w:val="Body Text 2"/>
    <w:basedOn w:val="Normal"/>
    <w:link w:val="BodyText2Char"/>
    <w:rsid w:val="005D6B89"/>
    <w:pPr>
      <w:spacing w:after="0" w:line="240" w:lineRule="auto"/>
    </w:pPr>
    <w:rPr>
      <w:rFonts w:ascii="Arial" w:eastAsia="Times New Roman" w:hAnsi="Arial" w:cs="Times New Roman"/>
      <w:sz w:val="17"/>
      <w:szCs w:val="20"/>
      <w:lang w:eastAsia="en-GB"/>
    </w:rPr>
  </w:style>
  <w:style w:type="character" w:customStyle="1" w:styleId="BodyText2Char">
    <w:name w:val="Body Text 2 Char"/>
    <w:basedOn w:val="DefaultParagraphFont"/>
    <w:link w:val="BodyText2"/>
    <w:rsid w:val="005D6B89"/>
    <w:rPr>
      <w:rFonts w:ascii="Arial" w:eastAsia="Times New Roman" w:hAnsi="Arial" w:cs="Times New Roman"/>
      <w:sz w:val="17"/>
      <w:szCs w:val="20"/>
      <w:lang w:eastAsia="en-GB"/>
    </w:rPr>
  </w:style>
  <w:style w:type="paragraph" w:styleId="BodyText">
    <w:name w:val="Body Text"/>
    <w:basedOn w:val="Normal"/>
    <w:link w:val="BodyTextChar"/>
    <w:unhideWhenUsed/>
    <w:rsid w:val="005D6B89"/>
    <w:pPr>
      <w:overflowPunct w:val="0"/>
      <w:autoSpaceDE w:val="0"/>
      <w:autoSpaceDN w:val="0"/>
      <w:adjustRightInd w:val="0"/>
      <w:spacing w:after="120" w:line="240" w:lineRule="auto"/>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5D6B89"/>
    <w:rPr>
      <w:rFonts w:ascii="Arial" w:eastAsia="Times New Roman" w:hAnsi="Arial" w:cs="Times New Roman"/>
      <w:sz w:val="24"/>
      <w:szCs w:val="20"/>
      <w:lang w:eastAsia="en-GB"/>
    </w:rPr>
  </w:style>
  <w:style w:type="paragraph" w:styleId="Revision">
    <w:name w:val="Revision"/>
    <w:hidden/>
    <w:uiPriority w:val="99"/>
    <w:semiHidden/>
    <w:rsid w:val="009014C6"/>
    <w:pPr>
      <w:spacing w:after="0" w:line="240" w:lineRule="auto"/>
    </w:pPr>
  </w:style>
  <w:style w:type="character" w:customStyle="1" w:styleId="Heading1Char">
    <w:name w:val="Heading 1 Char"/>
    <w:basedOn w:val="DefaultParagraphFont"/>
    <w:link w:val="Heading1"/>
    <w:uiPriority w:val="9"/>
    <w:rsid w:val="009A3EC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492">
      <w:bodyDiv w:val="1"/>
      <w:marLeft w:val="0"/>
      <w:marRight w:val="0"/>
      <w:marTop w:val="0"/>
      <w:marBottom w:val="0"/>
      <w:divBdr>
        <w:top w:val="none" w:sz="0" w:space="0" w:color="auto"/>
        <w:left w:val="none" w:sz="0" w:space="0" w:color="auto"/>
        <w:bottom w:val="none" w:sz="0" w:space="0" w:color="auto"/>
        <w:right w:val="none" w:sz="0" w:space="0" w:color="auto"/>
      </w:divBdr>
    </w:div>
    <w:div w:id="286863546">
      <w:bodyDiv w:val="1"/>
      <w:marLeft w:val="0"/>
      <w:marRight w:val="0"/>
      <w:marTop w:val="0"/>
      <w:marBottom w:val="0"/>
      <w:divBdr>
        <w:top w:val="none" w:sz="0" w:space="0" w:color="auto"/>
        <w:left w:val="none" w:sz="0" w:space="0" w:color="auto"/>
        <w:bottom w:val="none" w:sz="0" w:space="0" w:color="auto"/>
        <w:right w:val="none" w:sz="0" w:space="0" w:color="auto"/>
      </w:divBdr>
    </w:div>
    <w:div w:id="353651810">
      <w:bodyDiv w:val="1"/>
      <w:marLeft w:val="0"/>
      <w:marRight w:val="0"/>
      <w:marTop w:val="0"/>
      <w:marBottom w:val="0"/>
      <w:divBdr>
        <w:top w:val="none" w:sz="0" w:space="0" w:color="auto"/>
        <w:left w:val="none" w:sz="0" w:space="0" w:color="auto"/>
        <w:bottom w:val="none" w:sz="0" w:space="0" w:color="auto"/>
        <w:right w:val="none" w:sz="0" w:space="0" w:color="auto"/>
      </w:divBdr>
    </w:div>
    <w:div w:id="1298416016">
      <w:bodyDiv w:val="1"/>
      <w:marLeft w:val="0"/>
      <w:marRight w:val="0"/>
      <w:marTop w:val="0"/>
      <w:marBottom w:val="0"/>
      <w:divBdr>
        <w:top w:val="none" w:sz="0" w:space="0" w:color="auto"/>
        <w:left w:val="none" w:sz="0" w:space="0" w:color="auto"/>
        <w:bottom w:val="none" w:sz="0" w:space="0" w:color="auto"/>
        <w:right w:val="none" w:sz="0" w:space="0" w:color="auto"/>
      </w:divBdr>
      <w:divsChild>
        <w:div w:id="943195378">
          <w:marLeft w:val="0"/>
          <w:marRight w:val="0"/>
          <w:marTop w:val="0"/>
          <w:marBottom w:val="0"/>
          <w:divBdr>
            <w:top w:val="none" w:sz="0" w:space="0" w:color="auto"/>
            <w:left w:val="none" w:sz="0" w:space="0" w:color="auto"/>
            <w:bottom w:val="none" w:sz="0" w:space="0" w:color="auto"/>
            <w:right w:val="none" w:sz="0" w:space="0" w:color="auto"/>
          </w:divBdr>
          <w:divsChild>
            <w:div w:id="1556047680">
              <w:marLeft w:val="0"/>
              <w:marRight w:val="0"/>
              <w:marTop w:val="0"/>
              <w:marBottom w:val="0"/>
              <w:divBdr>
                <w:top w:val="none" w:sz="0" w:space="0" w:color="auto"/>
                <w:left w:val="none" w:sz="0" w:space="0" w:color="auto"/>
                <w:bottom w:val="none" w:sz="0" w:space="0" w:color="auto"/>
                <w:right w:val="none" w:sz="0" w:space="0" w:color="auto"/>
              </w:divBdr>
              <w:divsChild>
                <w:div w:id="1697346917">
                  <w:marLeft w:val="0"/>
                  <w:marRight w:val="0"/>
                  <w:marTop w:val="0"/>
                  <w:marBottom w:val="0"/>
                  <w:divBdr>
                    <w:top w:val="none" w:sz="0" w:space="0" w:color="auto"/>
                    <w:left w:val="none" w:sz="0" w:space="0" w:color="auto"/>
                    <w:bottom w:val="none" w:sz="0" w:space="0" w:color="auto"/>
                    <w:right w:val="none" w:sz="0" w:space="0" w:color="auto"/>
                  </w:divBdr>
                  <w:divsChild>
                    <w:div w:id="1306936404">
                      <w:marLeft w:val="3"/>
                      <w:marRight w:val="0"/>
                      <w:marTop w:val="0"/>
                      <w:marBottom w:val="0"/>
                      <w:divBdr>
                        <w:top w:val="none" w:sz="0" w:space="0" w:color="auto"/>
                        <w:left w:val="none" w:sz="0" w:space="0" w:color="auto"/>
                        <w:bottom w:val="none" w:sz="0" w:space="0" w:color="auto"/>
                        <w:right w:val="none" w:sz="0" w:space="0" w:color="auto"/>
                      </w:divBdr>
                      <w:divsChild>
                        <w:div w:id="1220166866">
                          <w:marLeft w:val="0"/>
                          <w:marRight w:val="0"/>
                          <w:marTop w:val="0"/>
                          <w:marBottom w:val="0"/>
                          <w:divBdr>
                            <w:top w:val="none" w:sz="0" w:space="0" w:color="auto"/>
                            <w:left w:val="none" w:sz="0" w:space="0" w:color="auto"/>
                            <w:bottom w:val="none" w:sz="0" w:space="0" w:color="auto"/>
                            <w:right w:val="none" w:sz="0" w:space="0" w:color="auto"/>
                          </w:divBdr>
                          <w:divsChild>
                            <w:div w:id="1201241002">
                              <w:marLeft w:val="0"/>
                              <w:marRight w:val="0"/>
                              <w:marTop w:val="0"/>
                              <w:marBottom w:val="0"/>
                              <w:divBdr>
                                <w:top w:val="none" w:sz="0" w:space="0" w:color="auto"/>
                                <w:left w:val="none" w:sz="0" w:space="0" w:color="auto"/>
                                <w:bottom w:val="none" w:sz="0" w:space="0" w:color="auto"/>
                                <w:right w:val="none" w:sz="0" w:space="0" w:color="auto"/>
                              </w:divBdr>
                              <w:divsChild>
                                <w:div w:id="1393196967">
                                  <w:marLeft w:val="0"/>
                                  <w:marRight w:val="0"/>
                                  <w:marTop w:val="0"/>
                                  <w:marBottom w:val="0"/>
                                  <w:divBdr>
                                    <w:top w:val="none" w:sz="0" w:space="0" w:color="auto"/>
                                    <w:left w:val="none" w:sz="0" w:space="0" w:color="auto"/>
                                    <w:bottom w:val="none" w:sz="0" w:space="0" w:color="auto"/>
                                    <w:right w:val="none" w:sz="0" w:space="0" w:color="auto"/>
                                  </w:divBdr>
                                  <w:divsChild>
                                    <w:div w:id="828640009">
                                      <w:marLeft w:val="0"/>
                                      <w:marRight w:val="0"/>
                                      <w:marTop w:val="960"/>
                                      <w:marBottom w:val="960"/>
                                      <w:divBdr>
                                        <w:top w:val="none" w:sz="0" w:space="0" w:color="auto"/>
                                        <w:left w:val="none" w:sz="0" w:space="0" w:color="auto"/>
                                        <w:bottom w:val="none" w:sz="0" w:space="0" w:color="auto"/>
                                        <w:right w:val="none" w:sz="0" w:space="0" w:color="auto"/>
                                      </w:divBdr>
                                      <w:divsChild>
                                        <w:div w:id="790129412">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24768">
      <w:bodyDiv w:val="1"/>
      <w:marLeft w:val="0"/>
      <w:marRight w:val="0"/>
      <w:marTop w:val="0"/>
      <w:marBottom w:val="0"/>
      <w:divBdr>
        <w:top w:val="none" w:sz="0" w:space="0" w:color="auto"/>
        <w:left w:val="none" w:sz="0" w:space="0" w:color="auto"/>
        <w:bottom w:val="none" w:sz="0" w:space="0" w:color="auto"/>
        <w:right w:val="none" w:sz="0" w:space="0" w:color="auto"/>
      </w:divBdr>
    </w:div>
    <w:div w:id="1481969557">
      <w:bodyDiv w:val="1"/>
      <w:marLeft w:val="0"/>
      <w:marRight w:val="0"/>
      <w:marTop w:val="0"/>
      <w:marBottom w:val="0"/>
      <w:divBdr>
        <w:top w:val="none" w:sz="0" w:space="0" w:color="auto"/>
        <w:left w:val="none" w:sz="0" w:space="0" w:color="auto"/>
        <w:bottom w:val="none" w:sz="0" w:space="0" w:color="auto"/>
        <w:right w:val="none" w:sz="0" w:space="0" w:color="auto"/>
      </w:divBdr>
    </w:div>
    <w:div w:id="16358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resources" TargetMode="External"/><Relationship Id="rId18" Type="http://schemas.openxmlformats.org/officeDocument/2006/relationships/hyperlink" Target="http://www.medicines.org.uk" TargetMode="External"/><Relationship Id="rId26" Type="http://schemas.openxmlformats.org/officeDocument/2006/relationships/hyperlink" Target="https://www.nmc.org.uk/standards/code/" TargetMode="External"/><Relationship Id="rId3" Type="http://schemas.openxmlformats.org/officeDocument/2006/relationships/styles" Target="styles.xml"/><Relationship Id="rId21" Type="http://schemas.openxmlformats.org/officeDocument/2006/relationships/hyperlink" Target="https://www.nhs.uk/conditions/ear-infections/" TargetMode="External"/><Relationship Id="rId7" Type="http://schemas.openxmlformats.org/officeDocument/2006/relationships/endnotes" Target="endnotes.xml"/><Relationship Id="rId12" Type="http://schemas.openxmlformats.org/officeDocument/2006/relationships/hyperlink" Target="https://www.nice.org.uk/guidance/mpg2/resources" TargetMode="External"/><Relationship Id="rId17" Type="http://schemas.openxmlformats.org/officeDocument/2006/relationships/hyperlink" Target="http://www.medicines.org.uk" TargetMode="External"/><Relationship Id="rId25" Type="http://schemas.openxmlformats.org/officeDocument/2006/relationships/hyperlink" Target="http://www.doh.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ks.nice.org.uk/topics/otitis-externa/background-information/complications/" TargetMode="External"/><Relationship Id="rId20" Type="http://schemas.openxmlformats.org/officeDocument/2006/relationships/hyperlink" Target="https://patient.info/ears-nose-throat-mouth/earache-ear-pain/ear-infection-otitis-externa" TargetMode="External"/><Relationship Id="rId29" Type="http://schemas.openxmlformats.org/officeDocument/2006/relationships/hyperlink" Target="https://www.sps.nhs.uk/articles/understanding-roles-and-responsibilities-of-pgd-signato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icb.medicines@nhs.net" TargetMode="External"/><Relationship Id="rId24" Type="http://schemas.openxmlformats.org/officeDocument/2006/relationships/hyperlink" Target="https://www.nice.org.uk/guidance/mpg2/resources/competency-framework-for-health-professionals-using-patient-group-directions-msword-1367276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ks.nice.org.uk/topics/otitis-externa/diagnosis/diagnosis/" TargetMode="External"/><Relationship Id="rId23" Type="http://schemas.openxmlformats.org/officeDocument/2006/relationships/hyperlink" Target="https://bnf.nice.org.uk/" TargetMode="External"/><Relationship Id="rId28" Type="http://schemas.openxmlformats.org/officeDocument/2006/relationships/hyperlink" Target="https://remedy.bnssg.icb.nhs.uk/media/flod250f/bnssg-comm-pharm-otomize-pgd-march-25-final-signed.pdf" TargetMode="External"/><Relationship Id="rId10" Type="http://schemas.openxmlformats.org/officeDocument/2006/relationships/image" Target="cid:image001.jpg@01CDADF6.0B639C90" TargetMode="External"/><Relationship Id="rId19" Type="http://schemas.openxmlformats.org/officeDocument/2006/relationships/hyperlink" Target="https://yellowcard.mhra.gov.u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v.uk/drug-safety-update/aminoglycosides-gentamicin-amikacin-tobramycin-and-neomycin-increased-risk-of-deafness-in-patients-with-mitochondrial-mutations" TargetMode="External"/><Relationship Id="rId22" Type="http://schemas.openxmlformats.org/officeDocument/2006/relationships/hyperlink" Target="http://www.medicines.org.uk/" TargetMode="External"/><Relationship Id="rId27" Type="http://schemas.openxmlformats.org/officeDocument/2006/relationships/hyperlink" Target="https://www.rpharms.com/recognition/setting-professional-standards/safe-and-secure-handling-of-medicines/professional-guidance-on-the-safe-and-secure-handling-of-medicines" TargetMode="External"/><Relationship Id="rId30" Type="http://schemas.openxmlformats.org/officeDocument/2006/relationships/header" Target="header1.xml"/><Relationship Id="rId8" Type="http://schemas.openxmlformats.org/officeDocument/2006/relationships/hyperlink" Target="https://remedy.bnssg.icb.nhs.uk/media/flod250f/bnssg-comm-pharm-otomize-pgd-march-25-final-sign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FF83-F88B-4DA5-8465-B145B70671B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3222</Words>
  <Characters>19238</Characters>
  <Application>Microsoft Office Word</Application>
  <DocSecurity>0</DocSecurity>
  <Lines>739</Lines>
  <Paragraphs>320</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Bucknell Laura</dc:creator>
  <cp:lastModifiedBy>EDGE, Kimberley (NHS GLOUCESTERSHIRE ICB - 11M)</cp:lastModifiedBy>
  <cp:revision>2</cp:revision>
  <cp:lastPrinted>2019-03-07T15:58:00Z</cp:lastPrinted>
  <dcterms:created xsi:type="dcterms:W3CDTF">2026-07-01T11:33:00Z</dcterms:created>
  <dcterms:modified xsi:type="dcterms:W3CDTF">2026-07-01T11:33:00Z</dcterms:modified>
</cp:coreProperties>
</file>